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8F" w:rsidRDefault="00BA048F" w:rsidP="00BA048F">
      <w:pPr>
        <w:pStyle w:val="Default"/>
        <w:spacing w:line="360" w:lineRule="auto"/>
        <w:ind w:right="-613"/>
        <w:jc w:val="both"/>
        <w:rPr>
          <w:rFonts w:ascii="Arial" w:hAnsi="Arial" w:cs="Arial"/>
          <w:sz w:val="20"/>
          <w:szCs w:val="20"/>
        </w:rPr>
      </w:pPr>
      <w:bookmarkStart w:id="0" w:name="_GoBack"/>
      <w:bookmarkEnd w:id="0"/>
    </w:p>
    <w:p w:rsidR="00BA048F" w:rsidRPr="00297BA2" w:rsidRDefault="00BA048F" w:rsidP="00BA048F">
      <w:pPr>
        <w:pStyle w:val="Default"/>
        <w:spacing w:line="360" w:lineRule="auto"/>
        <w:ind w:right="-613"/>
        <w:jc w:val="center"/>
        <w:rPr>
          <w:rFonts w:ascii="Arial" w:hAnsi="Arial" w:cs="Arial"/>
          <w:b/>
          <w:sz w:val="22"/>
          <w:szCs w:val="20"/>
          <w:u w:val="single"/>
        </w:rPr>
      </w:pPr>
      <w:r w:rsidRPr="00297BA2">
        <w:rPr>
          <w:rFonts w:ascii="Arial" w:hAnsi="Arial" w:cs="Arial"/>
          <w:b/>
          <w:sz w:val="22"/>
          <w:szCs w:val="20"/>
          <w:u w:val="single"/>
        </w:rPr>
        <w:t>DISCLOSURE ON LIQUIDITY COVERAGE RATIO AS ON 3</w:t>
      </w:r>
      <w:r w:rsidR="00D32E3B">
        <w:rPr>
          <w:rFonts w:ascii="Arial" w:hAnsi="Arial" w:cs="Arial"/>
          <w:b/>
          <w:sz w:val="22"/>
          <w:szCs w:val="20"/>
          <w:u w:val="single"/>
        </w:rPr>
        <w:t>0</w:t>
      </w:r>
      <w:r w:rsidRPr="00297BA2">
        <w:rPr>
          <w:rFonts w:ascii="Arial" w:hAnsi="Arial" w:cs="Arial"/>
          <w:b/>
          <w:sz w:val="22"/>
          <w:szCs w:val="20"/>
          <w:u w:val="single"/>
        </w:rPr>
        <w:t>.0</w:t>
      </w:r>
      <w:r w:rsidR="00995510">
        <w:rPr>
          <w:rFonts w:ascii="Arial" w:hAnsi="Arial" w:cs="Arial"/>
          <w:b/>
          <w:sz w:val="22"/>
          <w:szCs w:val="20"/>
          <w:u w:val="single"/>
        </w:rPr>
        <w:t>9</w:t>
      </w:r>
      <w:r w:rsidRPr="00297BA2">
        <w:rPr>
          <w:rFonts w:ascii="Arial" w:hAnsi="Arial" w:cs="Arial"/>
          <w:b/>
          <w:sz w:val="22"/>
          <w:szCs w:val="20"/>
          <w:u w:val="single"/>
        </w:rPr>
        <w:t>.2016</w:t>
      </w:r>
    </w:p>
    <w:p w:rsidR="00BA048F" w:rsidRPr="0019147F" w:rsidRDefault="00BA048F" w:rsidP="00BA048F">
      <w:pPr>
        <w:pStyle w:val="Default"/>
        <w:spacing w:line="360" w:lineRule="auto"/>
        <w:ind w:right="-613"/>
        <w:jc w:val="both"/>
        <w:rPr>
          <w:rFonts w:ascii="Arial" w:hAnsi="Arial" w:cs="Arial"/>
          <w:sz w:val="4"/>
          <w:szCs w:val="20"/>
        </w:rPr>
      </w:pPr>
    </w:p>
    <w:p w:rsidR="00D32E3B" w:rsidRPr="0022108A" w:rsidRDefault="00D32E3B" w:rsidP="00BA048F">
      <w:pPr>
        <w:pStyle w:val="Default"/>
        <w:spacing w:line="360" w:lineRule="auto"/>
        <w:ind w:right="-613"/>
        <w:jc w:val="both"/>
        <w:rPr>
          <w:rFonts w:ascii="Arial" w:hAnsi="Arial" w:cs="Arial"/>
          <w:sz w:val="8"/>
          <w:szCs w:val="20"/>
        </w:rPr>
      </w:pPr>
    </w:p>
    <w:p w:rsidR="0059015E" w:rsidRPr="00A409E9" w:rsidRDefault="0059015E" w:rsidP="00BA048F">
      <w:pPr>
        <w:pStyle w:val="Default"/>
        <w:spacing w:line="360" w:lineRule="auto"/>
        <w:ind w:right="-613"/>
        <w:jc w:val="both"/>
        <w:rPr>
          <w:rFonts w:ascii="Arial" w:hAnsi="Arial" w:cs="Arial"/>
          <w:sz w:val="20"/>
          <w:szCs w:val="20"/>
        </w:rPr>
      </w:pPr>
      <w:r w:rsidRPr="00A409E9">
        <w:rPr>
          <w:rFonts w:ascii="Arial" w:hAnsi="Arial" w:cs="Arial"/>
          <w:sz w:val="20"/>
          <w:szCs w:val="20"/>
        </w:rPr>
        <w:t xml:space="preserve">Liquidity Coverage Ratio (LCR) standard has been introduced with the objective that a bank maintains an adequate level of unencumbered High Quality Liquid Assets (HQLAs) that can be converted into cash to meet its liquidity needs for a 30 calendar day time horizon under a significantly severe liquidity stress scenario. </w:t>
      </w:r>
    </w:p>
    <w:p w:rsidR="00D17DDF" w:rsidRPr="00D17DDF" w:rsidRDefault="000F3AC3" w:rsidP="00BA048F">
      <w:pPr>
        <w:pStyle w:val="Default"/>
        <w:spacing w:line="360" w:lineRule="auto"/>
        <w:ind w:left="2160" w:right="-613" w:firstLine="720"/>
        <w:jc w:val="both"/>
        <w:rPr>
          <w:rFonts w:ascii="Arial" w:hAnsi="Arial" w:cs="Arial"/>
          <w:sz w:val="20"/>
          <w:szCs w:val="20"/>
        </w:rPr>
      </w:pPr>
      <w:r>
        <w:rPr>
          <w:noProof/>
          <w:lang w:eastAsia="en-IN"/>
        </w:rPr>
        <mc:AlternateContent>
          <mc:Choice Requires="wps">
            <w:drawing>
              <wp:anchor distT="0" distB="0" distL="114300" distR="114300" simplePos="0" relativeHeight="251661312" behindDoc="0" locked="0" layoutInCell="1" allowOverlap="1" wp14:anchorId="1A707E0C" wp14:editId="68A04F20">
                <wp:simplePos x="0" y="0"/>
                <wp:positionH relativeFrom="margin">
                  <wp:posOffset>161925</wp:posOffset>
                </wp:positionH>
                <wp:positionV relativeFrom="paragraph">
                  <wp:posOffset>55245</wp:posOffset>
                </wp:positionV>
                <wp:extent cx="1533525"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533525" cy="257175"/>
                        </a:xfrm>
                        <a:prstGeom prst="rect">
                          <a:avLst/>
                        </a:prstGeom>
                        <a:noFill/>
                        <a:ln>
                          <a:noFill/>
                        </a:ln>
                        <a:effectLst/>
                      </wps:spPr>
                      <wps:txbx>
                        <w:txbxContent>
                          <w:p w:rsidR="00BA048F" w:rsidRPr="00BA048F" w:rsidRDefault="00BA048F" w:rsidP="00297BA2">
                            <w:pPr>
                              <w:pStyle w:val="Default"/>
                              <w:spacing w:line="360" w:lineRule="auto"/>
                              <w:ind w:left="2160" w:right="-613" w:hanging="2302"/>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09E9">
                              <w:rPr>
                                <w:rFonts w:ascii="Arial" w:hAnsi="Arial" w:cs="Arial"/>
                                <w:sz w:val="20"/>
                                <w:szCs w:val="20"/>
                              </w:rPr>
                              <w:t>LCR has been defined 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07E0C" id="_x0000_t202" coordsize="21600,21600" o:spt="202" path="m,l,21600r21600,l21600,xe">
                <v:stroke joinstyle="miter"/>
                <v:path gradientshapeok="t" o:connecttype="rect"/>
              </v:shapetype>
              <v:shape id="Text Box 1" o:spid="_x0000_s1026" type="#_x0000_t202" style="position:absolute;left:0;text-align:left;margin-left:12.75pt;margin-top:4.35pt;width:120.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" filled="f" stroked="f">
                <v:textbox>
                  <w:txbxContent>
                    <w:p w:rsidR="00BA048F" w:rsidRPr="00BA048F" w:rsidRDefault="00BA048F" w:rsidP="00297BA2">
                      <w:pPr>
                        <w:pStyle w:val="Default"/>
                        <w:spacing w:line="360" w:lineRule="auto"/>
                        <w:ind w:left="2160" w:right="-613" w:hanging="2302"/>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09E9">
                        <w:rPr>
                          <w:rFonts w:ascii="Arial" w:hAnsi="Arial" w:cs="Arial"/>
                          <w:sz w:val="20"/>
                          <w:szCs w:val="20"/>
                        </w:rPr>
                        <w:t>LCR has been defined as:</w:t>
                      </w:r>
                    </w:p>
                  </w:txbxContent>
                </v:textbox>
                <w10:wrap anchorx="margin"/>
              </v:shape>
            </w:pict>
          </mc:Fallback>
        </mc:AlternateContent>
      </w:r>
      <w:r w:rsidR="00297BA2" w:rsidRPr="00D17DDF">
        <w:rPr>
          <w:rFonts w:ascii="Arial" w:hAnsi="Arial" w:cs="Arial"/>
          <w:noProof/>
          <w:lang w:eastAsia="en-IN"/>
        </w:rPr>
        <mc:AlternateContent>
          <mc:Choice Requires="wps">
            <w:drawing>
              <wp:anchor distT="0" distB="0" distL="114300" distR="114300" simplePos="0" relativeHeight="251659264" behindDoc="0" locked="0" layoutInCell="1" allowOverlap="1" wp14:anchorId="115AC519" wp14:editId="62480401">
                <wp:simplePos x="0" y="0"/>
                <wp:positionH relativeFrom="column">
                  <wp:posOffset>1905000</wp:posOffset>
                </wp:positionH>
                <wp:positionV relativeFrom="paragraph">
                  <wp:posOffset>174625</wp:posOffset>
                </wp:positionV>
                <wp:extent cx="2752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75272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818D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3.75pt" to="36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" strokecolor="black [3200]" strokeweight="1.5pt">
                <v:stroke joinstyle="miter"/>
              </v:line>
            </w:pict>
          </mc:Fallback>
        </mc:AlternateContent>
      </w:r>
      <w:r w:rsidR="00D17DDF">
        <w:rPr>
          <w:rFonts w:ascii="Arial" w:hAnsi="Arial" w:cs="Arial"/>
          <w:sz w:val="20"/>
          <w:szCs w:val="20"/>
        </w:rPr>
        <w:t xml:space="preserve">      </w:t>
      </w:r>
      <w:r w:rsidR="00D17DDF" w:rsidRPr="00D17DDF">
        <w:rPr>
          <w:rFonts w:ascii="Arial" w:hAnsi="Arial" w:cs="Arial"/>
          <w:sz w:val="20"/>
          <w:szCs w:val="20"/>
        </w:rPr>
        <w:t>Stock of high quality liquid assets (HQLAs)</w:t>
      </w:r>
    </w:p>
    <w:p w:rsidR="0059015E" w:rsidRPr="00A409E9" w:rsidRDefault="00BA048F" w:rsidP="00BA048F">
      <w:pPr>
        <w:pStyle w:val="Default"/>
        <w:spacing w:line="360" w:lineRule="auto"/>
        <w:ind w:left="2160" w:right="-613"/>
        <w:jc w:val="both"/>
        <w:rPr>
          <w:rFonts w:ascii="Arial" w:hAnsi="Arial" w:cs="Arial"/>
          <w:sz w:val="20"/>
          <w:szCs w:val="20"/>
        </w:rPr>
      </w:pPr>
      <w:r>
        <w:rPr>
          <w:rFonts w:ascii="Arial" w:hAnsi="Arial" w:cs="Arial"/>
          <w:sz w:val="20"/>
          <w:szCs w:val="20"/>
        </w:rPr>
        <w:t xml:space="preserve">   </w:t>
      </w:r>
      <w:r w:rsidR="00D17DDF">
        <w:rPr>
          <w:rFonts w:ascii="Arial" w:hAnsi="Arial" w:cs="Arial"/>
          <w:sz w:val="20"/>
          <w:szCs w:val="20"/>
        </w:rPr>
        <w:t xml:space="preserve">     </w:t>
      </w:r>
      <w:r w:rsidR="008B7B40" w:rsidRPr="00A409E9">
        <w:rPr>
          <w:rFonts w:ascii="Arial" w:hAnsi="Arial" w:cs="Arial"/>
          <w:sz w:val="20"/>
          <w:szCs w:val="20"/>
        </w:rPr>
        <w:t xml:space="preserve">    </w:t>
      </w:r>
      <w:r w:rsidR="00326EDD" w:rsidRPr="00A409E9">
        <w:rPr>
          <w:rFonts w:ascii="Arial" w:hAnsi="Arial" w:cs="Arial"/>
          <w:sz w:val="20"/>
          <w:szCs w:val="20"/>
        </w:rPr>
        <w:t>T</w:t>
      </w:r>
      <w:r w:rsidR="003954FE">
        <w:rPr>
          <w:rFonts w:ascii="Arial" w:hAnsi="Arial" w:cs="Arial"/>
          <w:sz w:val="20"/>
          <w:szCs w:val="20"/>
        </w:rPr>
        <w:t>otal net cash outflow</w:t>
      </w:r>
      <w:r w:rsidR="0059015E" w:rsidRPr="00A409E9">
        <w:rPr>
          <w:rFonts w:ascii="Arial" w:hAnsi="Arial" w:cs="Arial"/>
          <w:sz w:val="20"/>
          <w:szCs w:val="20"/>
        </w:rPr>
        <w:t xml:space="preserve"> over the next 30 calendar days</w:t>
      </w:r>
    </w:p>
    <w:p w:rsidR="0059015E" w:rsidRDefault="0059015E" w:rsidP="00BA048F">
      <w:pPr>
        <w:pStyle w:val="Default"/>
        <w:spacing w:line="360" w:lineRule="auto"/>
        <w:ind w:right="-613"/>
        <w:jc w:val="both"/>
        <w:rPr>
          <w:rFonts w:ascii="Arial" w:hAnsi="Arial" w:cs="Arial"/>
          <w:sz w:val="20"/>
          <w:szCs w:val="20"/>
        </w:rPr>
      </w:pPr>
      <w:r w:rsidRPr="00A409E9">
        <w:rPr>
          <w:rFonts w:ascii="Arial" w:hAnsi="Arial" w:cs="Arial"/>
          <w:sz w:val="20"/>
          <w:szCs w:val="20"/>
        </w:rPr>
        <w:t xml:space="preserve">Liquid assets comprise of high quality assets that can be readily </w:t>
      </w:r>
      <w:proofErr w:type="spellStart"/>
      <w:r w:rsidR="004746C4">
        <w:rPr>
          <w:rFonts w:ascii="Arial" w:hAnsi="Arial" w:cs="Arial"/>
          <w:sz w:val="20"/>
          <w:szCs w:val="20"/>
        </w:rPr>
        <w:t>encashed</w:t>
      </w:r>
      <w:proofErr w:type="spellEnd"/>
      <w:r w:rsidR="004746C4">
        <w:rPr>
          <w:rFonts w:ascii="Arial" w:hAnsi="Arial" w:cs="Arial"/>
          <w:sz w:val="20"/>
          <w:szCs w:val="20"/>
        </w:rPr>
        <w:t xml:space="preserve"> </w:t>
      </w:r>
      <w:r w:rsidRPr="00A409E9">
        <w:rPr>
          <w:rFonts w:ascii="Arial" w:hAnsi="Arial" w:cs="Arial"/>
          <w:sz w:val="20"/>
          <w:szCs w:val="20"/>
        </w:rPr>
        <w:t xml:space="preserve">or used as collateral to obtain </w:t>
      </w:r>
      <w:r w:rsidR="00877C7B">
        <w:rPr>
          <w:rFonts w:ascii="Arial" w:hAnsi="Arial" w:cs="Arial"/>
          <w:sz w:val="20"/>
          <w:szCs w:val="20"/>
        </w:rPr>
        <w:t xml:space="preserve">cash </w:t>
      </w:r>
      <w:r w:rsidR="00877C7B" w:rsidRPr="00A409E9">
        <w:rPr>
          <w:rFonts w:ascii="Arial" w:hAnsi="Arial" w:cs="Arial"/>
          <w:sz w:val="20"/>
          <w:szCs w:val="20"/>
        </w:rPr>
        <w:t>in</w:t>
      </w:r>
      <w:r w:rsidRPr="00A409E9">
        <w:rPr>
          <w:rFonts w:ascii="Arial" w:hAnsi="Arial" w:cs="Arial"/>
          <w:sz w:val="20"/>
          <w:szCs w:val="20"/>
        </w:rPr>
        <w:t xml:space="preserve"> a range of stress scenarios. There are two categories of assets included in the stock of HQLAs, viz. Level 1 and Level 2 assets.  </w:t>
      </w:r>
      <w:r w:rsidR="005B552C">
        <w:rPr>
          <w:rFonts w:ascii="Arial" w:hAnsi="Arial" w:cs="Arial"/>
          <w:sz w:val="20"/>
          <w:szCs w:val="20"/>
        </w:rPr>
        <w:t xml:space="preserve">While </w:t>
      </w:r>
      <w:r w:rsidRPr="00A409E9">
        <w:rPr>
          <w:rFonts w:ascii="Arial" w:hAnsi="Arial" w:cs="Arial"/>
          <w:sz w:val="20"/>
          <w:szCs w:val="20"/>
        </w:rPr>
        <w:t>Level 1 assets are with 0% haircut</w:t>
      </w:r>
      <w:r w:rsidR="005B552C">
        <w:rPr>
          <w:rFonts w:ascii="Arial" w:hAnsi="Arial" w:cs="Arial"/>
          <w:sz w:val="20"/>
          <w:szCs w:val="20"/>
        </w:rPr>
        <w:t xml:space="preserve">, </w:t>
      </w:r>
      <w:r w:rsidRPr="00A409E9">
        <w:rPr>
          <w:rFonts w:ascii="Arial" w:hAnsi="Arial" w:cs="Arial"/>
          <w:sz w:val="20"/>
          <w:szCs w:val="20"/>
        </w:rPr>
        <w:t>Level</w:t>
      </w:r>
      <w:r w:rsidR="004746C4">
        <w:rPr>
          <w:rFonts w:ascii="Arial" w:hAnsi="Arial" w:cs="Arial"/>
          <w:sz w:val="20"/>
          <w:szCs w:val="20"/>
        </w:rPr>
        <w:t xml:space="preserve"> </w:t>
      </w:r>
      <w:r w:rsidR="00877C7B" w:rsidRPr="00A409E9">
        <w:rPr>
          <w:rFonts w:ascii="Arial" w:hAnsi="Arial" w:cs="Arial"/>
          <w:sz w:val="20"/>
          <w:szCs w:val="20"/>
        </w:rPr>
        <w:t>2A</w:t>
      </w:r>
      <w:r w:rsidRPr="00A409E9">
        <w:rPr>
          <w:rFonts w:ascii="Arial" w:hAnsi="Arial" w:cs="Arial"/>
          <w:sz w:val="20"/>
          <w:szCs w:val="20"/>
        </w:rPr>
        <w:t xml:space="preserve"> </w:t>
      </w:r>
      <w:r w:rsidR="005B552C">
        <w:rPr>
          <w:rFonts w:ascii="Arial" w:hAnsi="Arial" w:cs="Arial"/>
          <w:sz w:val="20"/>
          <w:szCs w:val="20"/>
        </w:rPr>
        <w:t xml:space="preserve">and Level 2 B </w:t>
      </w:r>
      <w:r w:rsidRPr="00A409E9">
        <w:rPr>
          <w:rFonts w:ascii="Arial" w:hAnsi="Arial" w:cs="Arial"/>
          <w:sz w:val="20"/>
          <w:szCs w:val="20"/>
        </w:rPr>
        <w:t xml:space="preserve">assets are </w:t>
      </w:r>
      <w:r w:rsidR="003954FE" w:rsidRPr="00A409E9">
        <w:rPr>
          <w:rFonts w:ascii="Arial" w:hAnsi="Arial" w:cs="Arial"/>
          <w:sz w:val="20"/>
          <w:szCs w:val="20"/>
        </w:rPr>
        <w:t>with 15</w:t>
      </w:r>
      <w:r w:rsidRPr="00A409E9">
        <w:rPr>
          <w:rFonts w:ascii="Arial" w:hAnsi="Arial" w:cs="Arial"/>
          <w:sz w:val="20"/>
          <w:szCs w:val="20"/>
        </w:rPr>
        <w:t xml:space="preserve">% </w:t>
      </w:r>
      <w:r w:rsidR="005B552C">
        <w:rPr>
          <w:rFonts w:ascii="Arial" w:hAnsi="Arial" w:cs="Arial"/>
          <w:sz w:val="20"/>
          <w:szCs w:val="20"/>
        </w:rPr>
        <w:t xml:space="preserve">and </w:t>
      </w:r>
      <w:r w:rsidRPr="00A409E9">
        <w:rPr>
          <w:rFonts w:ascii="Arial" w:hAnsi="Arial" w:cs="Arial"/>
          <w:sz w:val="20"/>
          <w:szCs w:val="20"/>
        </w:rPr>
        <w:t xml:space="preserve">50% </w:t>
      </w:r>
      <w:r w:rsidR="008B7B40" w:rsidRPr="00A409E9">
        <w:rPr>
          <w:rFonts w:ascii="Arial" w:hAnsi="Arial" w:cs="Arial"/>
          <w:sz w:val="20"/>
          <w:szCs w:val="20"/>
        </w:rPr>
        <w:t>haircut</w:t>
      </w:r>
      <w:r w:rsidR="005B552C">
        <w:rPr>
          <w:rFonts w:ascii="Arial" w:hAnsi="Arial" w:cs="Arial"/>
          <w:sz w:val="20"/>
          <w:szCs w:val="20"/>
        </w:rPr>
        <w:t>s respectively</w:t>
      </w:r>
      <w:r w:rsidR="008B7B40" w:rsidRPr="00A409E9">
        <w:rPr>
          <w:rFonts w:ascii="Arial" w:hAnsi="Arial" w:cs="Arial"/>
          <w:sz w:val="20"/>
          <w:szCs w:val="20"/>
        </w:rPr>
        <w:t>. The</w:t>
      </w:r>
      <w:r w:rsidR="003954FE">
        <w:rPr>
          <w:rFonts w:ascii="Arial" w:hAnsi="Arial" w:cs="Arial"/>
          <w:sz w:val="20"/>
          <w:szCs w:val="20"/>
        </w:rPr>
        <w:t xml:space="preserve"> total net cash outflow</w:t>
      </w:r>
      <w:r w:rsidRPr="00A409E9">
        <w:rPr>
          <w:rFonts w:ascii="Arial" w:hAnsi="Arial" w:cs="Arial"/>
          <w:sz w:val="20"/>
          <w:szCs w:val="20"/>
        </w:rPr>
        <w:t xml:space="preserve"> is the total expected cash outflows minus total expected cash inflows for the subsequent 30 calendar days. Total expected cash outflows are calculated by multiplying the outstanding balances of various categories or types of liabilities and off-balance sheet commitments by the rates at which they are expected to run off or be drawn down. Total expected cash inflows are calculated by multiplying the outstanding balances of various categories of contractual receivables by the rates at which they are expected to flow in up to an aggregate cap of 75% of total expected cash outflows.</w:t>
      </w:r>
    </w:p>
    <w:p w:rsidR="007D44CE" w:rsidRDefault="00877C7B" w:rsidP="007D44CE">
      <w:pPr>
        <w:pStyle w:val="Default"/>
        <w:spacing w:line="360" w:lineRule="auto"/>
        <w:ind w:right="-613"/>
        <w:jc w:val="both"/>
        <w:rPr>
          <w:rFonts w:asciiTheme="minorHAnsi" w:hAnsiTheme="minorHAnsi" w:cstheme="minorBidi"/>
          <w:color w:val="auto"/>
          <w:sz w:val="22"/>
          <w:szCs w:val="22"/>
        </w:rPr>
      </w:pPr>
      <w:r w:rsidRPr="00877C7B">
        <w:rPr>
          <w:rFonts w:ascii="Arial" w:hAnsi="Arial" w:cs="Arial"/>
          <w:b/>
          <w:sz w:val="20"/>
          <w:szCs w:val="20"/>
          <w:u w:val="single"/>
        </w:rPr>
        <w:t xml:space="preserve">Quantitative Disclosure: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10FAF">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Rs</w:t>
      </w:r>
      <w:proofErr w:type="spellEnd"/>
      <w:r>
        <w:rPr>
          <w:rFonts w:ascii="Arial" w:hAnsi="Arial" w:cs="Arial"/>
          <w:sz w:val="20"/>
          <w:szCs w:val="20"/>
        </w:rPr>
        <w:t xml:space="preserve"> in </w:t>
      </w:r>
      <w:proofErr w:type="spellStart"/>
      <w:r w:rsidR="002F24A9">
        <w:rPr>
          <w:rFonts w:ascii="Arial" w:hAnsi="Arial" w:cs="Arial"/>
          <w:sz w:val="20"/>
          <w:szCs w:val="20"/>
        </w:rPr>
        <w:t>C</w:t>
      </w:r>
      <w:r>
        <w:rPr>
          <w:rFonts w:ascii="Arial" w:hAnsi="Arial" w:cs="Arial"/>
          <w:sz w:val="20"/>
          <w:szCs w:val="20"/>
        </w:rPr>
        <w:t>rs</w:t>
      </w:r>
      <w:proofErr w:type="spellEnd"/>
      <w:r>
        <w:rPr>
          <w:rFonts w:ascii="Arial" w:hAnsi="Arial" w:cs="Arial"/>
          <w:sz w:val="20"/>
          <w:szCs w:val="20"/>
        </w:rPr>
        <w:t>)</w:t>
      </w:r>
      <w:r w:rsidR="00D356F4">
        <w:fldChar w:fldCharType="begin"/>
      </w:r>
      <w:r w:rsidR="00D356F4">
        <w:instrText xml:space="preserve"> LINK </w:instrText>
      </w:r>
      <w:r w:rsidR="006F23A3">
        <w:instrText xml:space="preserve">Excel.Sheet.12 "\\\\c19213s115\\ALCO\\LCR\\Statutory audit\\Audit Jun 2016\\Audited lcr disclosure April-June 2016 after audit.xlsx" "Signature page!R4C1:R30C6" </w:instrText>
      </w:r>
      <w:r w:rsidR="00D356F4">
        <w:instrText xml:space="preserve">\a \f 4 \h </w:instrText>
      </w:r>
      <w:r w:rsidR="002F42EB">
        <w:instrText xml:space="preserve"> \* MERGEFORMAT </w:instrText>
      </w:r>
      <w:r w:rsidR="00D356F4">
        <w:fldChar w:fldCharType="separate"/>
      </w:r>
    </w:p>
    <w:tbl>
      <w:tblPr>
        <w:tblW w:w="9771" w:type="dxa"/>
        <w:tblLook w:val="04A0" w:firstRow="1" w:lastRow="0" w:firstColumn="1" w:lastColumn="0" w:noHBand="0" w:noVBand="1"/>
      </w:tblPr>
      <w:tblGrid>
        <w:gridCol w:w="456"/>
        <w:gridCol w:w="5953"/>
        <w:gridCol w:w="1803"/>
        <w:gridCol w:w="1559"/>
      </w:tblGrid>
      <w:tr w:rsidR="007D44CE" w:rsidRPr="007D44CE" w:rsidTr="00110FAF">
        <w:trPr>
          <w:trHeight w:val="259"/>
        </w:trPr>
        <w:tc>
          <w:tcPr>
            <w:tcW w:w="6409" w:type="dxa"/>
            <w:gridSpan w:val="2"/>
            <w:tcBorders>
              <w:top w:val="single" w:sz="8" w:space="0" w:color="auto"/>
              <w:left w:val="single" w:sz="8" w:space="0" w:color="auto"/>
              <w:bottom w:val="nil"/>
              <w:right w:val="single" w:sz="4" w:space="0" w:color="auto"/>
            </w:tcBorders>
            <w:shd w:val="clear" w:color="auto" w:fill="auto"/>
            <w:noWrap/>
            <w:vAlign w:val="bottom"/>
            <w:hideMark/>
          </w:tcPr>
          <w:p w:rsidR="007D44CE" w:rsidRPr="007D44CE" w:rsidRDefault="007D44CE" w:rsidP="007D44CE">
            <w:pPr>
              <w:spacing w:after="0" w:line="240" w:lineRule="auto"/>
              <w:jc w:val="center"/>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LCR COMPONENTS</w:t>
            </w:r>
          </w:p>
        </w:tc>
        <w:tc>
          <w:tcPr>
            <w:tcW w:w="1803" w:type="dxa"/>
            <w:tcBorders>
              <w:top w:val="single" w:sz="8" w:space="0" w:color="auto"/>
              <w:left w:val="nil"/>
              <w:bottom w:val="nil"/>
              <w:right w:val="single" w:sz="8" w:space="0" w:color="auto"/>
            </w:tcBorders>
            <w:shd w:val="clear" w:color="auto" w:fill="auto"/>
            <w:vAlign w:val="center"/>
            <w:hideMark/>
          </w:tcPr>
          <w:p w:rsidR="007D44CE" w:rsidRPr="007D44CE" w:rsidRDefault="007D44CE" w:rsidP="007D44CE">
            <w:pPr>
              <w:spacing w:after="0" w:line="240" w:lineRule="auto"/>
              <w:jc w:val="center"/>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 xml:space="preserve">Total </w:t>
            </w:r>
            <w:proofErr w:type="spellStart"/>
            <w:r w:rsidRPr="007D44CE">
              <w:rPr>
                <w:rFonts w:ascii="Arial" w:eastAsia="Times New Roman" w:hAnsi="Arial" w:cs="Arial"/>
                <w:b/>
                <w:bCs/>
                <w:color w:val="000000"/>
                <w:sz w:val="18"/>
                <w:szCs w:val="18"/>
                <w:lang w:eastAsia="en-IN"/>
              </w:rPr>
              <w:t>Unweighted</w:t>
            </w:r>
            <w:proofErr w:type="spellEnd"/>
            <w:r w:rsidRPr="007D44CE">
              <w:rPr>
                <w:rFonts w:ascii="Arial" w:eastAsia="Times New Roman" w:hAnsi="Arial" w:cs="Arial"/>
                <w:b/>
                <w:bCs/>
                <w:color w:val="000000"/>
                <w:sz w:val="18"/>
                <w:szCs w:val="18"/>
                <w:lang w:eastAsia="en-IN"/>
              </w:rPr>
              <w:t xml:space="preserve"> Value(</w:t>
            </w:r>
            <w:proofErr w:type="spellStart"/>
            <w:r w:rsidRPr="007D44CE">
              <w:rPr>
                <w:rFonts w:ascii="Arial" w:eastAsia="Times New Roman" w:hAnsi="Arial" w:cs="Arial"/>
                <w:b/>
                <w:bCs/>
                <w:color w:val="000000"/>
                <w:sz w:val="18"/>
                <w:szCs w:val="18"/>
                <w:lang w:eastAsia="en-IN"/>
              </w:rPr>
              <w:t>Avg</w:t>
            </w:r>
            <w:proofErr w:type="spellEnd"/>
            <w:r w:rsidRPr="007D44CE">
              <w:rPr>
                <w:rFonts w:ascii="Arial" w:eastAsia="Times New Roman" w:hAnsi="Arial" w:cs="Arial"/>
                <w:b/>
                <w:bCs/>
                <w:color w:val="000000"/>
                <w:sz w:val="18"/>
                <w:szCs w:val="18"/>
                <w:lang w:eastAsia="en-IN"/>
              </w:rPr>
              <w:t>)</w:t>
            </w:r>
          </w:p>
        </w:tc>
        <w:tc>
          <w:tcPr>
            <w:tcW w:w="1559" w:type="dxa"/>
            <w:tcBorders>
              <w:top w:val="single" w:sz="8" w:space="0" w:color="auto"/>
              <w:left w:val="nil"/>
              <w:bottom w:val="nil"/>
              <w:right w:val="single" w:sz="8" w:space="0" w:color="auto"/>
            </w:tcBorders>
            <w:shd w:val="clear" w:color="auto" w:fill="auto"/>
            <w:vAlign w:val="center"/>
            <w:hideMark/>
          </w:tcPr>
          <w:p w:rsidR="007D44CE" w:rsidRPr="007D44CE" w:rsidRDefault="007D44CE" w:rsidP="007D44CE">
            <w:pPr>
              <w:spacing w:after="0" w:line="240" w:lineRule="auto"/>
              <w:jc w:val="center"/>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Total Weighted    Value(</w:t>
            </w:r>
            <w:proofErr w:type="spellStart"/>
            <w:r w:rsidRPr="007D44CE">
              <w:rPr>
                <w:rFonts w:ascii="Arial" w:eastAsia="Times New Roman" w:hAnsi="Arial" w:cs="Arial"/>
                <w:b/>
                <w:bCs/>
                <w:color w:val="000000"/>
                <w:sz w:val="18"/>
                <w:szCs w:val="18"/>
                <w:lang w:eastAsia="en-IN"/>
              </w:rPr>
              <w:t>Avg</w:t>
            </w:r>
            <w:proofErr w:type="spellEnd"/>
            <w:r w:rsidRPr="007D44CE">
              <w:rPr>
                <w:rFonts w:ascii="Arial" w:eastAsia="Times New Roman" w:hAnsi="Arial" w:cs="Arial"/>
                <w:b/>
                <w:bCs/>
                <w:color w:val="000000"/>
                <w:sz w:val="18"/>
                <w:szCs w:val="18"/>
                <w:lang w:eastAsia="en-IN"/>
              </w:rPr>
              <w:t>)</w:t>
            </w:r>
          </w:p>
        </w:tc>
      </w:tr>
      <w:tr w:rsidR="007D44CE" w:rsidRPr="007D44CE" w:rsidTr="00110FAF">
        <w:trPr>
          <w:trHeight w:val="94"/>
        </w:trPr>
        <w:tc>
          <w:tcPr>
            <w:tcW w:w="640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HIGH QUALITY LIQUID ASSETS (HQLA)</w:t>
            </w:r>
          </w:p>
        </w:tc>
        <w:tc>
          <w:tcPr>
            <w:tcW w:w="3362" w:type="dxa"/>
            <w:gridSpan w:val="2"/>
            <w:tcBorders>
              <w:top w:val="single" w:sz="8" w:space="0" w:color="auto"/>
              <w:left w:val="nil"/>
              <w:bottom w:val="single" w:sz="8" w:space="0" w:color="auto"/>
              <w:right w:val="nil"/>
            </w:tcBorders>
            <w:shd w:val="clear" w:color="000000" w:fill="D9D9D9"/>
            <w:noWrap/>
            <w:vAlign w:val="bottom"/>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r>
      <w:tr w:rsidR="007D44CE" w:rsidRPr="007D44CE" w:rsidTr="00110FAF">
        <w:trPr>
          <w:trHeight w:val="435"/>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w:t>
            </w:r>
          </w:p>
        </w:tc>
        <w:tc>
          <w:tcPr>
            <w:tcW w:w="5953" w:type="dxa"/>
            <w:tcBorders>
              <w:top w:val="nil"/>
              <w:left w:val="nil"/>
              <w:bottom w:val="single" w:sz="8" w:space="0" w:color="auto"/>
              <w:right w:val="single" w:sz="8" w:space="0" w:color="auto"/>
            </w:tcBorders>
            <w:shd w:val="clear" w:color="auto" w:fill="auto"/>
            <w:noWrap/>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Total High Quality Liquid Assets(HQLA)</w:t>
            </w:r>
          </w:p>
        </w:tc>
        <w:tc>
          <w:tcPr>
            <w:tcW w:w="1803" w:type="dxa"/>
            <w:tcBorders>
              <w:top w:val="nil"/>
              <w:left w:val="nil"/>
              <w:bottom w:val="single" w:sz="8" w:space="0" w:color="auto"/>
              <w:right w:val="nil"/>
            </w:tcBorders>
            <w:shd w:val="clear" w:color="000000" w:fill="D9D9D9"/>
            <w:noWrap/>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3,66,350</w:t>
            </w:r>
          </w:p>
        </w:tc>
      </w:tr>
      <w:tr w:rsidR="007D44CE" w:rsidRPr="007D44CE" w:rsidTr="00110FAF">
        <w:trPr>
          <w:trHeight w:val="288"/>
        </w:trPr>
        <w:tc>
          <w:tcPr>
            <w:tcW w:w="640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CASH OUTFLOWS</w:t>
            </w:r>
          </w:p>
        </w:tc>
        <w:tc>
          <w:tcPr>
            <w:tcW w:w="3362" w:type="dxa"/>
            <w:gridSpan w:val="2"/>
            <w:tcBorders>
              <w:top w:val="single" w:sz="8" w:space="0" w:color="auto"/>
              <w:left w:val="nil"/>
              <w:bottom w:val="single" w:sz="8" w:space="0" w:color="auto"/>
              <w:right w:val="nil"/>
            </w:tcBorders>
            <w:shd w:val="clear" w:color="000000" w:fill="D9D9D9"/>
            <w:noWrap/>
            <w:vAlign w:val="bottom"/>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r>
      <w:tr w:rsidR="007D44CE" w:rsidRPr="007D44CE" w:rsidTr="00110FAF">
        <w:trPr>
          <w:trHeight w:val="281"/>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2</w:t>
            </w:r>
          </w:p>
        </w:tc>
        <w:tc>
          <w:tcPr>
            <w:tcW w:w="5953" w:type="dxa"/>
            <w:tcBorders>
              <w:top w:val="nil"/>
              <w:left w:val="nil"/>
              <w:bottom w:val="single" w:sz="8" w:space="0" w:color="auto"/>
              <w:right w:val="single" w:sz="8" w:space="0" w:color="auto"/>
            </w:tcBorders>
            <w:shd w:val="clear" w:color="000000" w:fill="FFFFFF"/>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Retail Deposits and deposits from small business customers, of which:</w:t>
            </w:r>
          </w:p>
        </w:tc>
        <w:tc>
          <w:tcPr>
            <w:tcW w:w="1803" w:type="dxa"/>
            <w:tcBorders>
              <w:top w:val="nil"/>
              <w:left w:val="nil"/>
              <w:bottom w:val="single" w:sz="8" w:space="0" w:color="auto"/>
              <w:right w:val="nil"/>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c>
          <w:tcPr>
            <w:tcW w:w="1559" w:type="dxa"/>
            <w:tcBorders>
              <w:top w:val="nil"/>
              <w:left w:val="nil"/>
              <w:bottom w:val="single" w:sz="8" w:space="0" w:color="auto"/>
              <w:right w:val="single" w:sz="8" w:space="0" w:color="auto"/>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r>
      <w:tr w:rsidR="007D44CE" w:rsidRPr="007D44CE" w:rsidTr="00110FAF">
        <w:trPr>
          <w:trHeight w:val="247"/>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w:t>
            </w:r>
            <w:proofErr w:type="spellStart"/>
            <w:r w:rsidRPr="007D44CE">
              <w:rPr>
                <w:rFonts w:ascii="Arial" w:eastAsia="Times New Roman" w:hAnsi="Arial" w:cs="Arial"/>
                <w:color w:val="000000"/>
                <w:sz w:val="18"/>
                <w:szCs w:val="18"/>
                <w:lang w:eastAsia="en-IN"/>
              </w:rPr>
              <w:t>i</w:t>
            </w:r>
            <w:proofErr w:type="spellEnd"/>
            <w:r w:rsidRPr="007D44CE">
              <w:rPr>
                <w:rFonts w:ascii="Arial" w:eastAsia="Times New Roman" w:hAnsi="Arial" w:cs="Arial"/>
                <w:color w:val="000000"/>
                <w:sz w:val="18"/>
                <w:szCs w:val="18"/>
                <w:lang w:eastAsia="en-IN"/>
              </w:rPr>
              <w:t>)</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Stable deposits</w:t>
            </w:r>
          </w:p>
        </w:tc>
        <w:tc>
          <w:tcPr>
            <w:tcW w:w="1803" w:type="dxa"/>
            <w:tcBorders>
              <w:top w:val="nil"/>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1,76,287</w:t>
            </w:r>
          </w:p>
        </w:tc>
        <w:tc>
          <w:tcPr>
            <w:tcW w:w="1559" w:type="dxa"/>
            <w:tcBorders>
              <w:top w:val="nil"/>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8,814</w:t>
            </w:r>
          </w:p>
        </w:tc>
      </w:tr>
      <w:tr w:rsidR="007D44CE" w:rsidRPr="007D44CE" w:rsidTr="00110FAF">
        <w:trPr>
          <w:trHeight w:val="251"/>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(ii)</w:t>
            </w:r>
          </w:p>
        </w:tc>
        <w:tc>
          <w:tcPr>
            <w:tcW w:w="5953" w:type="dxa"/>
            <w:tcBorders>
              <w:top w:val="nil"/>
              <w:left w:val="nil"/>
              <w:bottom w:val="single" w:sz="8"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Less Stable Deposits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11,71,315</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1,17,132</w:t>
            </w:r>
          </w:p>
        </w:tc>
      </w:tr>
      <w:tr w:rsidR="007D44CE" w:rsidRPr="007D44CE" w:rsidTr="00110FAF">
        <w:trPr>
          <w:trHeight w:val="360"/>
        </w:trPr>
        <w:tc>
          <w:tcPr>
            <w:tcW w:w="456" w:type="dxa"/>
            <w:tcBorders>
              <w:top w:val="nil"/>
              <w:left w:val="single" w:sz="8" w:space="0" w:color="auto"/>
              <w:bottom w:val="single" w:sz="8" w:space="0" w:color="auto"/>
              <w:right w:val="single" w:sz="4"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3</w:t>
            </w:r>
          </w:p>
        </w:tc>
        <w:tc>
          <w:tcPr>
            <w:tcW w:w="5953" w:type="dxa"/>
            <w:tcBorders>
              <w:top w:val="nil"/>
              <w:left w:val="nil"/>
              <w:bottom w:val="single" w:sz="8" w:space="0" w:color="auto"/>
              <w:right w:val="single" w:sz="4"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Unsecured wholesale funding, of which:</w:t>
            </w:r>
          </w:p>
        </w:tc>
        <w:tc>
          <w:tcPr>
            <w:tcW w:w="1803" w:type="dxa"/>
            <w:tcBorders>
              <w:top w:val="single" w:sz="8" w:space="0" w:color="auto"/>
              <w:left w:val="nil"/>
              <w:bottom w:val="single" w:sz="8" w:space="0" w:color="auto"/>
              <w:right w:val="nil"/>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c>
          <w:tcPr>
            <w:tcW w:w="1559" w:type="dxa"/>
            <w:tcBorders>
              <w:top w:val="single" w:sz="8" w:space="0" w:color="auto"/>
              <w:left w:val="nil"/>
              <w:bottom w:val="single" w:sz="8" w:space="0" w:color="auto"/>
              <w:right w:val="single" w:sz="8" w:space="0" w:color="auto"/>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r>
      <w:tr w:rsidR="007D44CE" w:rsidRPr="007D44CE" w:rsidTr="00110FAF">
        <w:trPr>
          <w:trHeight w:val="173"/>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w:t>
            </w:r>
            <w:proofErr w:type="spellStart"/>
            <w:r w:rsidRPr="007D44CE">
              <w:rPr>
                <w:rFonts w:ascii="Arial" w:eastAsia="Times New Roman" w:hAnsi="Arial" w:cs="Arial"/>
                <w:color w:val="000000"/>
                <w:sz w:val="18"/>
                <w:szCs w:val="18"/>
                <w:lang w:eastAsia="en-IN"/>
              </w:rPr>
              <w:t>i</w:t>
            </w:r>
            <w:proofErr w:type="spellEnd"/>
            <w:r w:rsidRPr="007D44CE">
              <w:rPr>
                <w:rFonts w:ascii="Arial" w:eastAsia="Times New Roman" w:hAnsi="Arial" w:cs="Arial"/>
                <w:color w:val="000000"/>
                <w:sz w:val="18"/>
                <w:szCs w:val="18"/>
                <w:lang w:eastAsia="en-IN"/>
              </w:rPr>
              <w:t>)</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Operational deposits(all counterparties)</w:t>
            </w:r>
          </w:p>
        </w:tc>
        <w:tc>
          <w:tcPr>
            <w:tcW w:w="1803" w:type="dxa"/>
            <w:tcBorders>
              <w:top w:val="nil"/>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c>
          <w:tcPr>
            <w:tcW w:w="1559" w:type="dxa"/>
            <w:tcBorders>
              <w:top w:val="nil"/>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r>
      <w:tr w:rsidR="007D44CE" w:rsidRPr="007D44CE" w:rsidTr="00110FAF">
        <w:trPr>
          <w:trHeight w:val="253"/>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(ii)</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Non-operational deposits(all counterparties)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4,17,604</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2,44,737</w:t>
            </w:r>
          </w:p>
        </w:tc>
      </w:tr>
      <w:tr w:rsidR="007D44CE" w:rsidRPr="007D44CE" w:rsidTr="00110FAF">
        <w:trPr>
          <w:trHeight w:val="271"/>
        </w:trPr>
        <w:tc>
          <w:tcPr>
            <w:tcW w:w="456" w:type="dxa"/>
            <w:tcBorders>
              <w:top w:val="nil"/>
              <w:left w:val="single" w:sz="8" w:space="0" w:color="auto"/>
              <w:bottom w:val="single" w:sz="8"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(iii)</w:t>
            </w:r>
          </w:p>
        </w:tc>
        <w:tc>
          <w:tcPr>
            <w:tcW w:w="5953" w:type="dxa"/>
            <w:tcBorders>
              <w:top w:val="nil"/>
              <w:left w:val="nil"/>
              <w:bottom w:val="single" w:sz="8"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Unsecured debt</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r>
      <w:tr w:rsidR="007D44CE" w:rsidRPr="007D44CE" w:rsidTr="00110FAF">
        <w:trPr>
          <w:trHeight w:val="179"/>
        </w:trPr>
        <w:tc>
          <w:tcPr>
            <w:tcW w:w="456" w:type="dxa"/>
            <w:tcBorders>
              <w:top w:val="nil"/>
              <w:left w:val="single" w:sz="8" w:space="0" w:color="auto"/>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4</w:t>
            </w:r>
          </w:p>
        </w:tc>
        <w:tc>
          <w:tcPr>
            <w:tcW w:w="5953" w:type="dxa"/>
            <w:tcBorders>
              <w:top w:val="nil"/>
              <w:left w:val="nil"/>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Secured wholesale funding</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8,887</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w:t>
            </w:r>
          </w:p>
        </w:tc>
      </w:tr>
      <w:tr w:rsidR="007D44CE" w:rsidRPr="007D44CE" w:rsidTr="00110FAF">
        <w:trPr>
          <w:trHeight w:val="390"/>
        </w:trPr>
        <w:tc>
          <w:tcPr>
            <w:tcW w:w="456" w:type="dxa"/>
            <w:tcBorders>
              <w:top w:val="nil"/>
              <w:left w:val="single" w:sz="8" w:space="0" w:color="auto"/>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5</w:t>
            </w:r>
          </w:p>
        </w:tc>
        <w:tc>
          <w:tcPr>
            <w:tcW w:w="5953" w:type="dxa"/>
            <w:tcBorders>
              <w:top w:val="nil"/>
              <w:left w:val="nil"/>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Additional requirements, of which</w:t>
            </w:r>
          </w:p>
        </w:tc>
        <w:tc>
          <w:tcPr>
            <w:tcW w:w="1803" w:type="dxa"/>
            <w:tcBorders>
              <w:top w:val="single" w:sz="8" w:space="0" w:color="auto"/>
              <w:left w:val="nil"/>
              <w:bottom w:val="single" w:sz="8" w:space="0" w:color="auto"/>
              <w:right w:val="single" w:sz="8" w:space="0" w:color="auto"/>
            </w:tcBorders>
            <w:shd w:val="clear" w:color="000000" w:fill="D9D9D9"/>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0.00</w:t>
            </w:r>
          </w:p>
        </w:tc>
        <w:tc>
          <w:tcPr>
            <w:tcW w:w="1559" w:type="dxa"/>
            <w:tcBorders>
              <w:top w:val="single" w:sz="8" w:space="0" w:color="auto"/>
              <w:left w:val="nil"/>
              <w:bottom w:val="single" w:sz="8" w:space="0" w:color="auto"/>
              <w:right w:val="single" w:sz="8" w:space="0" w:color="auto"/>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r>
      <w:tr w:rsidR="007D44CE" w:rsidRPr="007D44CE" w:rsidTr="00110FAF">
        <w:trPr>
          <w:trHeight w:val="358"/>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w:t>
            </w:r>
            <w:proofErr w:type="spellStart"/>
            <w:r w:rsidRPr="007D44CE">
              <w:rPr>
                <w:rFonts w:ascii="Arial" w:eastAsia="Times New Roman" w:hAnsi="Arial" w:cs="Arial"/>
                <w:color w:val="000000"/>
                <w:sz w:val="18"/>
                <w:szCs w:val="18"/>
                <w:lang w:eastAsia="en-IN"/>
              </w:rPr>
              <w:t>i</w:t>
            </w:r>
            <w:proofErr w:type="spellEnd"/>
            <w:r w:rsidRPr="007D44CE">
              <w:rPr>
                <w:rFonts w:ascii="Arial" w:eastAsia="Times New Roman" w:hAnsi="Arial" w:cs="Arial"/>
                <w:color w:val="000000"/>
                <w:sz w:val="18"/>
                <w:szCs w:val="18"/>
                <w:lang w:eastAsia="en-IN"/>
              </w:rPr>
              <w:t>)</w:t>
            </w:r>
          </w:p>
        </w:tc>
        <w:tc>
          <w:tcPr>
            <w:tcW w:w="5953" w:type="dxa"/>
            <w:tcBorders>
              <w:top w:val="nil"/>
              <w:left w:val="nil"/>
              <w:bottom w:val="single" w:sz="4" w:space="0" w:color="auto"/>
              <w:right w:val="single" w:sz="8" w:space="0" w:color="auto"/>
            </w:tcBorders>
            <w:shd w:val="clear" w:color="auto" w:fill="auto"/>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Outflows related to derivative exposures and other collateral requirements</w:t>
            </w:r>
          </w:p>
        </w:tc>
        <w:tc>
          <w:tcPr>
            <w:tcW w:w="1803" w:type="dxa"/>
            <w:tcBorders>
              <w:top w:val="nil"/>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1,25,334</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1,25,334</w:t>
            </w:r>
          </w:p>
        </w:tc>
      </w:tr>
      <w:tr w:rsidR="007D44CE" w:rsidRPr="007D44CE" w:rsidTr="00110FAF">
        <w:trPr>
          <w:trHeight w:val="297"/>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(ii)</w:t>
            </w:r>
          </w:p>
        </w:tc>
        <w:tc>
          <w:tcPr>
            <w:tcW w:w="5953" w:type="dxa"/>
            <w:tcBorders>
              <w:top w:val="nil"/>
              <w:left w:val="nil"/>
              <w:bottom w:val="single" w:sz="4" w:space="0" w:color="auto"/>
              <w:right w:val="single" w:sz="8" w:space="0" w:color="auto"/>
            </w:tcBorders>
            <w:shd w:val="clear" w:color="auto" w:fill="auto"/>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Outflows related to loss of funding on debt products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r>
      <w:tr w:rsidR="007D44CE" w:rsidRPr="007D44CE" w:rsidTr="00110FAF">
        <w:trPr>
          <w:trHeight w:val="261"/>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(iii)</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Credit and liquidity facilities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75,927</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10,139</w:t>
            </w:r>
          </w:p>
        </w:tc>
      </w:tr>
      <w:tr w:rsidR="007D44CE" w:rsidRPr="007D44CE" w:rsidTr="00110FAF">
        <w:trPr>
          <w:trHeight w:val="407"/>
        </w:trPr>
        <w:tc>
          <w:tcPr>
            <w:tcW w:w="456" w:type="dxa"/>
            <w:tcBorders>
              <w:top w:val="nil"/>
              <w:left w:val="single" w:sz="8" w:space="0" w:color="auto"/>
              <w:bottom w:val="single" w:sz="4" w:space="0" w:color="auto"/>
              <w:right w:val="single" w:sz="8"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6</w:t>
            </w:r>
          </w:p>
        </w:tc>
        <w:tc>
          <w:tcPr>
            <w:tcW w:w="5953" w:type="dxa"/>
            <w:tcBorders>
              <w:top w:val="nil"/>
              <w:left w:val="nil"/>
              <w:bottom w:val="single" w:sz="4"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Other contractual funding obligations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19,419</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19,419</w:t>
            </w:r>
          </w:p>
        </w:tc>
      </w:tr>
      <w:tr w:rsidR="007D44CE" w:rsidRPr="007D44CE" w:rsidTr="00110FAF">
        <w:trPr>
          <w:trHeight w:val="257"/>
        </w:trPr>
        <w:tc>
          <w:tcPr>
            <w:tcW w:w="456" w:type="dxa"/>
            <w:tcBorders>
              <w:top w:val="nil"/>
              <w:left w:val="single" w:sz="8" w:space="0" w:color="auto"/>
              <w:bottom w:val="single" w:sz="4" w:space="0" w:color="auto"/>
              <w:right w:val="single" w:sz="8"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7</w:t>
            </w:r>
          </w:p>
        </w:tc>
        <w:tc>
          <w:tcPr>
            <w:tcW w:w="5953" w:type="dxa"/>
            <w:tcBorders>
              <w:top w:val="nil"/>
              <w:left w:val="nil"/>
              <w:bottom w:val="single" w:sz="4"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Other contingent funding obligations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4,77,622</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17,456</w:t>
            </w:r>
          </w:p>
        </w:tc>
      </w:tr>
      <w:tr w:rsidR="007D44CE" w:rsidRPr="007D44CE" w:rsidTr="00110FAF">
        <w:trPr>
          <w:trHeight w:val="341"/>
        </w:trPr>
        <w:tc>
          <w:tcPr>
            <w:tcW w:w="456" w:type="dxa"/>
            <w:tcBorders>
              <w:top w:val="nil"/>
              <w:left w:val="single" w:sz="8" w:space="0" w:color="auto"/>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8</w:t>
            </w:r>
          </w:p>
        </w:tc>
        <w:tc>
          <w:tcPr>
            <w:tcW w:w="5953" w:type="dxa"/>
            <w:tcBorders>
              <w:top w:val="nil"/>
              <w:left w:val="nil"/>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TOTAL CASH OUTFLOWS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24,72,395</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5,43,031</w:t>
            </w:r>
          </w:p>
        </w:tc>
      </w:tr>
      <w:tr w:rsidR="007D44CE" w:rsidRPr="007D44CE" w:rsidTr="00110FAF">
        <w:trPr>
          <w:trHeight w:val="181"/>
        </w:trPr>
        <w:tc>
          <w:tcPr>
            <w:tcW w:w="640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CASH INFLOWS</w:t>
            </w:r>
          </w:p>
        </w:tc>
        <w:tc>
          <w:tcPr>
            <w:tcW w:w="1803" w:type="dxa"/>
            <w:tcBorders>
              <w:top w:val="single" w:sz="8" w:space="0" w:color="auto"/>
              <w:left w:val="nil"/>
              <w:bottom w:val="single" w:sz="8" w:space="0" w:color="auto"/>
              <w:right w:val="nil"/>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c>
          <w:tcPr>
            <w:tcW w:w="1559" w:type="dxa"/>
            <w:tcBorders>
              <w:top w:val="single" w:sz="8" w:space="0" w:color="auto"/>
              <w:left w:val="nil"/>
              <w:bottom w:val="single" w:sz="8" w:space="0" w:color="auto"/>
              <w:right w:val="single" w:sz="8" w:space="0" w:color="auto"/>
            </w:tcBorders>
            <w:shd w:val="clear" w:color="000000" w:fill="D9D9D9"/>
            <w:vAlign w:val="bottom"/>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r>
      <w:tr w:rsidR="007D44CE" w:rsidRPr="007D44CE" w:rsidTr="00110FAF">
        <w:trPr>
          <w:trHeight w:val="435"/>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9</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xml:space="preserve">Secured </w:t>
            </w:r>
            <w:proofErr w:type="gramStart"/>
            <w:r w:rsidRPr="007D44CE">
              <w:rPr>
                <w:rFonts w:ascii="Arial" w:eastAsia="Times New Roman" w:hAnsi="Arial" w:cs="Arial"/>
                <w:color w:val="000000"/>
                <w:sz w:val="18"/>
                <w:szCs w:val="18"/>
                <w:lang w:eastAsia="en-IN"/>
              </w:rPr>
              <w:t>lending(</w:t>
            </w:r>
            <w:proofErr w:type="spellStart"/>
            <w:proofErr w:type="gramEnd"/>
            <w:r w:rsidRPr="007D44CE">
              <w:rPr>
                <w:rFonts w:ascii="Arial" w:eastAsia="Times New Roman" w:hAnsi="Arial" w:cs="Arial"/>
                <w:color w:val="000000"/>
                <w:sz w:val="18"/>
                <w:szCs w:val="18"/>
                <w:lang w:eastAsia="en-IN"/>
              </w:rPr>
              <w:t>eg</w:t>
            </w:r>
            <w:proofErr w:type="spellEnd"/>
            <w:r w:rsidRPr="007D44CE">
              <w:rPr>
                <w:rFonts w:ascii="Arial" w:eastAsia="Times New Roman" w:hAnsi="Arial" w:cs="Arial"/>
                <w:color w:val="000000"/>
                <w:sz w:val="18"/>
                <w:szCs w:val="18"/>
                <w:lang w:eastAsia="en-IN"/>
              </w:rPr>
              <w:t>. Reverse repos)</w:t>
            </w:r>
          </w:p>
        </w:tc>
        <w:tc>
          <w:tcPr>
            <w:tcW w:w="1803" w:type="dxa"/>
            <w:tcBorders>
              <w:top w:val="nil"/>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5,437</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0</w:t>
            </w:r>
          </w:p>
        </w:tc>
      </w:tr>
      <w:tr w:rsidR="007D44CE" w:rsidRPr="007D44CE" w:rsidTr="00110FAF">
        <w:trPr>
          <w:trHeight w:val="345"/>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10</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Inflows from fully performing exposures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1,76,384</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1,61,597</w:t>
            </w:r>
          </w:p>
        </w:tc>
      </w:tr>
      <w:tr w:rsidR="007D44CE" w:rsidRPr="007D44CE" w:rsidTr="00110FAF">
        <w:trPr>
          <w:trHeight w:val="317"/>
        </w:trPr>
        <w:tc>
          <w:tcPr>
            <w:tcW w:w="456" w:type="dxa"/>
            <w:tcBorders>
              <w:top w:val="nil"/>
              <w:left w:val="single" w:sz="8" w:space="0" w:color="auto"/>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11</w:t>
            </w:r>
          </w:p>
        </w:tc>
        <w:tc>
          <w:tcPr>
            <w:tcW w:w="5953" w:type="dxa"/>
            <w:tcBorders>
              <w:top w:val="nil"/>
              <w:left w:val="nil"/>
              <w:bottom w:val="single" w:sz="4" w:space="0" w:color="auto"/>
              <w:right w:val="single" w:sz="8" w:space="0" w:color="auto"/>
            </w:tcBorders>
            <w:shd w:val="clear" w:color="auto" w:fill="auto"/>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Other cash inflows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38,958</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31,484</w:t>
            </w:r>
          </w:p>
        </w:tc>
      </w:tr>
      <w:tr w:rsidR="007D44CE" w:rsidRPr="007D44CE" w:rsidTr="00110FAF">
        <w:trPr>
          <w:trHeight w:val="213"/>
        </w:trPr>
        <w:tc>
          <w:tcPr>
            <w:tcW w:w="456" w:type="dxa"/>
            <w:tcBorders>
              <w:top w:val="nil"/>
              <w:left w:val="single" w:sz="8" w:space="0" w:color="auto"/>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12</w:t>
            </w:r>
          </w:p>
        </w:tc>
        <w:tc>
          <w:tcPr>
            <w:tcW w:w="5953" w:type="dxa"/>
            <w:tcBorders>
              <w:top w:val="nil"/>
              <w:left w:val="nil"/>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TOTAL CASH INFLOWS</w:t>
            </w:r>
          </w:p>
        </w:tc>
        <w:tc>
          <w:tcPr>
            <w:tcW w:w="1803" w:type="dxa"/>
            <w:tcBorders>
              <w:top w:val="single" w:sz="8" w:space="0" w:color="auto"/>
              <w:left w:val="nil"/>
              <w:bottom w:val="single" w:sz="4" w:space="0" w:color="auto"/>
              <w:right w:val="single" w:sz="4"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2,20,779</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1,93,081</w:t>
            </w:r>
          </w:p>
        </w:tc>
      </w:tr>
      <w:tr w:rsidR="007D44CE" w:rsidRPr="007D44CE" w:rsidTr="00110FAF">
        <w:trPr>
          <w:trHeight w:val="245"/>
        </w:trPr>
        <w:tc>
          <w:tcPr>
            <w:tcW w:w="456" w:type="dxa"/>
            <w:tcBorders>
              <w:top w:val="nil"/>
              <w:left w:val="single" w:sz="8" w:space="0" w:color="auto"/>
              <w:bottom w:val="single" w:sz="4" w:space="0" w:color="auto"/>
              <w:right w:val="single" w:sz="4"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13</w:t>
            </w:r>
          </w:p>
        </w:tc>
        <w:tc>
          <w:tcPr>
            <w:tcW w:w="5953" w:type="dxa"/>
            <w:tcBorders>
              <w:top w:val="nil"/>
              <w:left w:val="nil"/>
              <w:bottom w:val="single" w:sz="4"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TOTAL HQLA</w:t>
            </w:r>
          </w:p>
        </w:tc>
        <w:tc>
          <w:tcPr>
            <w:tcW w:w="1803"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bottom"/>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3,66,350</w:t>
            </w:r>
          </w:p>
        </w:tc>
      </w:tr>
      <w:tr w:rsidR="007D44CE" w:rsidRPr="007D44CE" w:rsidTr="00110FAF">
        <w:trPr>
          <w:trHeight w:val="301"/>
        </w:trPr>
        <w:tc>
          <w:tcPr>
            <w:tcW w:w="456" w:type="dxa"/>
            <w:tcBorders>
              <w:top w:val="nil"/>
              <w:left w:val="single" w:sz="8" w:space="0" w:color="auto"/>
              <w:bottom w:val="single" w:sz="4" w:space="0" w:color="auto"/>
              <w:right w:val="single" w:sz="4"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14</w:t>
            </w:r>
          </w:p>
        </w:tc>
        <w:tc>
          <w:tcPr>
            <w:tcW w:w="5953" w:type="dxa"/>
            <w:tcBorders>
              <w:top w:val="nil"/>
              <w:left w:val="nil"/>
              <w:bottom w:val="single" w:sz="4"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TOTAL NET CASH OUTFLOWS</w:t>
            </w:r>
          </w:p>
        </w:tc>
        <w:tc>
          <w:tcPr>
            <w:tcW w:w="1803" w:type="dxa"/>
            <w:vMerge/>
            <w:tcBorders>
              <w:top w:val="single" w:sz="8" w:space="0" w:color="auto"/>
              <w:left w:val="single" w:sz="8" w:space="0" w:color="auto"/>
              <w:bottom w:val="single" w:sz="8" w:space="0" w:color="000000"/>
              <w:right w:val="single" w:sz="8" w:space="0" w:color="auto"/>
            </w:tcBorders>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3,49,951</w:t>
            </w:r>
          </w:p>
        </w:tc>
      </w:tr>
      <w:tr w:rsidR="007D44CE" w:rsidRPr="007D44CE" w:rsidTr="00110FAF">
        <w:trPr>
          <w:trHeight w:val="250"/>
        </w:trPr>
        <w:tc>
          <w:tcPr>
            <w:tcW w:w="456" w:type="dxa"/>
            <w:tcBorders>
              <w:top w:val="nil"/>
              <w:left w:val="single" w:sz="8" w:space="0" w:color="auto"/>
              <w:bottom w:val="single" w:sz="8" w:space="0" w:color="auto"/>
              <w:right w:val="single" w:sz="4" w:space="0" w:color="auto"/>
            </w:tcBorders>
            <w:shd w:val="clear" w:color="000000" w:fill="FFFFFF"/>
            <w:noWrap/>
            <w:vAlign w:val="center"/>
            <w:hideMark/>
          </w:tcPr>
          <w:p w:rsidR="007D44CE" w:rsidRPr="007D44CE" w:rsidRDefault="007D44CE" w:rsidP="007D44CE">
            <w:pPr>
              <w:spacing w:after="0" w:line="240" w:lineRule="auto"/>
              <w:jc w:val="center"/>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15</w:t>
            </w:r>
          </w:p>
        </w:tc>
        <w:tc>
          <w:tcPr>
            <w:tcW w:w="5953" w:type="dxa"/>
            <w:tcBorders>
              <w:top w:val="nil"/>
              <w:left w:val="nil"/>
              <w:bottom w:val="single" w:sz="8" w:space="0" w:color="auto"/>
              <w:right w:val="single" w:sz="8" w:space="0" w:color="auto"/>
            </w:tcBorders>
            <w:shd w:val="clear" w:color="000000" w:fill="FFFFFF"/>
            <w:noWrap/>
            <w:vAlign w:val="center"/>
            <w:hideMark/>
          </w:tcPr>
          <w:p w:rsidR="007D44CE" w:rsidRPr="007D44CE" w:rsidRDefault="007D44CE" w:rsidP="007D44CE">
            <w:pPr>
              <w:spacing w:after="0" w:line="240" w:lineRule="auto"/>
              <w:rPr>
                <w:rFonts w:ascii="Arial" w:eastAsia="Times New Roman" w:hAnsi="Arial" w:cs="Arial"/>
                <w:b/>
                <w:bCs/>
                <w:color w:val="000000"/>
                <w:sz w:val="18"/>
                <w:szCs w:val="18"/>
                <w:lang w:eastAsia="en-IN"/>
              </w:rPr>
            </w:pPr>
            <w:r w:rsidRPr="007D44CE">
              <w:rPr>
                <w:rFonts w:ascii="Arial" w:eastAsia="Times New Roman" w:hAnsi="Arial" w:cs="Arial"/>
                <w:b/>
                <w:bCs/>
                <w:color w:val="000000"/>
                <w:sz w:val="18"/>
                <w:szCs w:val="18"/>
                <w:lang w:eastAsia="en-IN"/>
              </w:rPr>
              <w:t xml:space="preserve">LIQUIDITY COVERAGE </w:t>
            </w:r>
            <w:proofErr w:type="gramStart"/>
            <w:r w:rsidRPr="007D44CE">
              <w:rPr>
                <w:rFonts w:ascii="Arial" w:eastAsia="Times New Roman" w:hAnsi="Arial" w:cs="Arial"/>
                <w:b/>
                <w:bCs/>
                <w:color w:val="000000"/>
                <w:sz w:val="18"/>
                <w:szCs w:val="18"/>
                <w:lang w:eastAsia="en-IN"/>
              </w:rPr>
              <w:t>RATIO(</w:t>
            </w:r>
            <w:proofErr w:type="gramEnd"/>
            <w:r w:rsidRPr="007D44CE">
              <w:rPr>
                <w:rFonts w:ascii="Arial" w:eastAsia="Times New Roman" w:hAnsi="Arial" w:cs="Arial"/>
                <w:b/>
                <w:bCs/>
                <w:color w:val="000000"/>
                <w:sz w:val="18"/>
                <w:szCs w:val="18"/>
                <w:lang w:eastAsia="en-IN"/>
              </w:rPr>
              <w:t>%)</w:t>
            </w:r>
          </w:p>
        </w:tc>
        <w:tc>
          <w:tcPr>
            <w:tcW w:w="1803" w:type="dxa"/>
            <w:vMerge/>
            <w:tcBorders>
              <w:top w:val="single" w:sz="8" w:space="0" w:color="auto"/>
              <w:left w:val="single" w:sz="8" w:space="0" w:color="auto"/>
              <w:bottom w:val="single" w:sz="8" w:space="0" w:color="000000"/>
              <w:right w:val="single" w:sz="8" w:space="0" w:color="auto"/>
            </w:tcBorders>
            <w:vAlign w:val="center"/>
            <w:hideMark/>
          </w:tcPr>
          <w:p w:rsidR="007D44CE" w:rsidRPr="007D44CE" w:rsidRDefault="007D44CE" w:rsidP="007D44CE">
            <w:pPr>
              <w:spacing w:after="0" w:line="240" w:lineRule="auto"/>
              <w:rPr>
                <w:rFonts w:ascii="Arial" w:eastAsia="Times New Roman" w:hAnsi="Arial" w:cs="Arial"/>
                <w:color w:val="000000"/>
                <w:sz w:val="18"/>
                <w:szCs w:val="18"/>
                <w:lang w:eastAsia="en-IN"/>
              </w:rPr>
            </w:pP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7D44CE" w:rsidRPr="007D44CE" w:rsidRDefault="007D44CE" w:rsidP="007D44CE">
            <w:pPr>
              <w:spacing w:after="0" w:line="240" w:lineRule="auto"/>
              <w:jc w:val="right"/>
              <w:rPr>
                <w:rFonts w:ascii="Arial" w:eastAsia="Times New Roman" w:hAnsi="Arial" w:cs="Arial"/>
                <w:color w:val="000000"/>
                <w:sz w:val="18"/>
                <w:szCs w:val="18"/>
                <w:lang w:eastAsia="en-IN"/>
              </w:rPr>
            </w:pPr>
            <w:r w:rsidRPr="007D44CE">
              <w:rPr>
                <w:rFonts w:ascii="Arial" w:eastAsia="Times New Roman" w:hAnsi="Arial" w:cs="Arial"/>
                <w:color w:val="000000"/>
                <w:sz w:val="18"/>
                <w:szCs w:val="18"/>
                <w:lang w:eastAsia="en-IN"/>
              </w:rPr>
              <w:t>104.69%</w:t>
            </w:r>
          </w:p>
        </w:tc>
      </w:tr>
    </w:tbl>
    <w:p w:rsidR="007D44CE" w:rsidRDefault="00D356F4" w:rsidP="007D44CE">
      <w:pPr>
        <w:pStyle w:val="Default"/>
        <w:spacing w:line="360" w:lineRule="auto"/>
        <w:jc w:val="both"/>
        <w:rPr>
          <w:rFonts w:ascii="Arial" w:hAnsi="Arial" w:cs="Arial"/>
          <w:sz w:val="20"/>
          <w:szCs w:val="20"/>
        </w:rPr>
      </w:pPr>
      <w:r>
        <w:rPr>
          <w:rFonts w:ascii="Arial" w:hAnsi="Arial" w:cs="Arial"/>
          <w:sz w:val="20"/>
          <w:szCs w:val="20"/>
        </w:rPr>
        <w:lastRenderedPageBreak/>
        <w:fldChar w:fldCharType="end"/>
      </w:r>
    </w:p>
    <w:p w:rsidR="007C0419" w:rsidRPr="00A409E9" w:rsidRDefault="007B6BA7" w:rsidP="00110FAF">
      <w:pPr>
        <w:pStyle w:val="Default"/>
        <w:spacing w:line="360" w:lineRule="auto"/>
        <w:ind w:right="-613"/>
        <w:jc w:val="both"/>
        <w:rPr>
          <w:rFonts w:ascii="Arial" w:hAnsi="Arial" w:cs="Arial"/>
          <w:sz w:val="20"/>
          <w:szCs w:val="20"/>
        </w:rPr>
      </w:pPr>
      <w:r w:rsidRPr="00A409E9">
        <w:rPr>
          <w:rFonts w:ascii="Arial" w:hAnsi="Arial" w:cs="Arial"/>
          <w:sz w:val="20"/>
          <w:szCs w:val="20"/>
        </w:rPr>
        <w:t>The</w:t>
      </w:r>
      <w:r w:rsidR="00110FAF">
        <w:rPr>
          <w:rFonts w:ascii="Arial" w:hAnsi="Arial" w:cs="Arial"/>
          <w:sz w:val="20"/>
          <w:szCs w:val="20"/>
        </w:rPr>
        <w:t xml:space="preserve"> </w:t>
      </w:r>
      <w:r w:rsidR="000161E0" w:rsidRPr="00A409E9">
        <w:rPr>
          <w:rFonts w:ascii="Arial" w:hAnsi="Arial" w:cs="Arial"/>
          <w:sz w:val="20"/>
          <w:szCs w:val="20"/>
        </w:rPr>
        <w:t xml:space="preserve">LCR disclosure template </w:t>
      </w:r>
      <w:r w:rsidRPr="00A409E9">
        <w:rPr>
          <w:rFonts w:ascii="Arial" w:hAnsi="Arial" w:cs="Arial"/>
          <w:sz w:val="20"/>
          <w:szCs w:val="20"/>
        </w:rPr>
        <w:t>shows the average of</w:t>
      </w:r>
      <w:r w:rsidR="00110FAF">
        <w:rPr>
          <w:rFonts w:ascii="Arial" w:hAnsi="Arial" w:cs="Arial"/>
          <w:sz w:val="20"/>
          <w:szCs w:val="20"/>
        </w:rPr>
        <w:t xml:space="preserve"> </w:t>
      </w:r>
      <w:r w:rsidRPr="00A409E9">
        <w:rPr>
          <w:rFonts w:ascii="Arial" w:hAnsi="Arial" w:cs="Arial"/>
          <w:sz w:val="20"/>
          <w:szCs w:val="20"/>
        </w:rPr>
        <w:t>the un-weighted</w:t>
      </w:r>
      <w:r w:rsidR="00110FAF">
        <w:rPr>
          <w:rFonts w:ascii="Arial" w:hAnsi="Arial" w:cs="Arial"/>
          <w:sz w:val="20"/>
          <w:szCs w:val="20"/>
        </w:rPr>
        <w:t xml:space="preserve"> </w:t>
      </w:r>
      <w:r w:rsidRPr="00A409E9">
        <w:rPr>
          <w:rFonts w:ascii="Arial" w:hAnsi="Arial" w:cs="Arial"/>
          <w:sz w:val="20"/>
          <w:szCs w:val="20"/>
        </w:rPr>
        <w:t xml:space="preserve">and weighted value </w:t>
      </w:r>
      <w:r w:rsidR="00110FAF">
        <w:rPr>
          <w:rFonts w:ascii="Arial" w:hAnsi="Arial" w:cs="Arial"/>
          <w:sz w:val="20"/>
          <w:szCs w:val="20"/>
        </w:rPr>
        <w:t xml:space="preserve">of </w:t>
      </w:r>
      <w:r w:rsidRPr="00A409E9">
        <w:rPr>
          <w:rFonts w:ascii="Arial" w:hAnsi="Arial" w:cs="Arial"/>
          <w:sz w:val="20"/>
          <w:szCs w:val="20"/>
        </w:rPr>
        <w:t>LCR</w:t>
      </w:r>
      <w:r w:rsidR="00110FAF">
        <w:rPr>
          <w:rFonts w:ascii="Arial" w:hAnsi="Arial" w:cs="Arial"/>
          <w:sz w:val="20"/>
          <w:szCs w:val="20"/>
        </w:rPr>
        <w:t xml:space="preserve"> </w:t>
      </w:r>
      <w:r w:rsidRPr="00A409E9">
        <w:rPr>
          <w:rFonts w:ascii="Arial" w:hAnsi="Arial" w:cs="Arial"/>
          <w:sz w:val="20"/>
          <w:szCs w:val="20"/>
        </w:rPr>
        <w:t xml:space="preserve">components </w:t>
      </w:r>
      <w:r w:rsidR="002D251E">
        <w:rPr>
          <w:rFonts w:ascii="Arial" w:hAnsi="Arial" w:cs="Arial"/>
          <w:sz w:val="20"/>
          <w:szCs w:val="20"/>
        </w:rPr>
        <w:t>for three months of Q</w:t>
      </w:r>
      <w:r w:rsidR="00613FCA">
        <w:rPr>
          <w:rFonts w:ascii="Arial" w:hAnsi="Arial" w:cs="Arial"/>
          <w:sz w:val="20"/>
          <w:szCs w:val="20"/>
        </w:rPr>
        <w:t>2</w:t>
      </w:r>
      <w:r w:rsidR="002D251E">
        <w:rPr>
          <w:rFonts w:ascii="Arial" w:hAnsi="Arial" w:cs="Arial"/>
          <w:sz w:val="20"/>
          <w:szCs w:val="20"/>
        </w:rPr>
        <w:t xml:space="preserve"> FY 16-17 </w:t>
      </w:r>
      <w:r w:rsidRPr="00A409E9">
        <w:rPr>
          <w:rFonts w:ascii="Arial" w:hAnsi="Arial" w:cs="Arial"/>
          <w:sz w:val="20"/>
          <w:szCs w:val="20"/>
        </w:rPr>
        <w:t xml:space="preserve">for the State Bank of India </w:t>
      </w:r>
      <w:r w:rsidR="000161E0" w:rsidRPr="00A409E9">
        <w:rPr>
          <w:rFonts w:ascii="Arial" w:hAnsi="Arial" w:cs="Arial"/>
          <w:sz w:val="20"/>
          <w:szCs w:val="20"/>
        </w:rPr>
        <w:t>including its Foreign Branches</w:t>
      </w:r>
      <w:r w:rsidRPr="00A409E9">
        <w:rPr>
          <w:rFonts w:ascii="Arial" w:hAnsi="Arial" w:cs="Arial"/>
          <w:sz w:val="20"/>
          <w:szCs w:val="20"/>
        </w:rPr>
        <w:t xml:space="preserve">. </w:t>
      </w:r>
    </w:p>
    <w:p w:rsidR="003954FE" w:rsidRDefault="003954FE" w:rsidP="00B4729E">
      <w:pPr>
        <w:pStyle w:val="Default"/>
        <w:spacing w:line="360" w:lineRule="auto"/>
        <w:ind w:right="-613"/>
        <w:jc w:val="both"/>
        <w:rPr>
          <w:rFonts w:ascii="Arial" w:hAnsi="Arial" w:cs="Arial"/>
          <w:sz w:val="20"/>
          <w:szCs w:val="20"/>
        </w:rPr>
      </w:pPr>
    </w:p>
    <w:p w:rsidR="00326EDD" w:rsidRPr="00A409E9" w:rsidRDefault="002D251E" w:rsidP="00B4729E">
      <w:pPr>
        <w:pStyle w:val="Default"/>
        <w:spacing w:line="360" w:lineRule="auto"/>
        <w:ind w:right="-613"/>
        <w:jc w:val="both"/>
        <w:rPr>
          <w:rFonts w:ascii="Arial" w:hAnsi="Arial" w:cs="Arial"/>
          <w:sz w:val="20"/>
          <w:szCs w:val="20"/>
        </w:rPr>
      </w:pPr>
      <w:r>
        <w:rPr>
          <w:rFonts w:ascii="Arial" w:hAnsi="Arial" w:cs="Arial"/>
          <w:sz w:val="20"/>
          <w:szCs w:val="20"/>
        </w:rPr>
        <w:t>The LCR</w:t>
      </w:r>
      <w:r w:rsidR="009A247C" w:rsidRPr="00A409E9">
        <w:rPr>
          <w:rFonts w:ascii="Arial" w:hAnsi="Arial" w:cs="Arial"/>
          <w:sz w:val="20"/>
          <w:szCs w:val="20"/>
        </w:rPr>
        <w:t xml:space="preserve"> position</w:t>
      </w:r>
      <w:r>
        <w:rPr>
          <w:rFonts w:ascii="Arial" w:hAnsi="Arial" w:cs="Arial"/>
          <w:sz w:val="20"/>
          <w:szCs w:val="20"/>
        </w:rPr>
        <w:t xml:space="preserve"> is </w:t>
      </w:r>
      <w:r w:rsidRPr="00A409E9">
        <w:rPr>
          <w:rFonts w:ascii="Arial" w:hAnsi="Arial" w:cs="Arial"/>
          <w:sz w:val="20"/>
          <w:szCs w:val="20"/>
        </w:rPr>
        <w:t>above</w:t>
      </w:r>
      <w:r w:rsidR="009A247C" w:rsidRPr="00A409E9">
        <w:rPr>
          <w:rFonts w:ascii="Arial" w:hAnsi="Arial" w:cs="Arial"/>
          <w:sz w:val="20"/>
          <w:szCs w:val="20"/>
        </w:rPr>
        <w:t xml:space="preserve"> the minimum 70% prescribed by </w:t>
      </w:r>
      <w:r w:rsidR="000161E0" w:rsidRPr="00A409E9">
        <w:rPr>
          <w:rFonts w:ascii="Arial" w:hAnsi="Arial" w:cs="Arial"/>
          <w:sz w:val="20"/>
          <w:szCs w:val="20"/>
        </w:rPr>
        <w:t>RBI</w:t>
      </w:r>
      <w:r w:rsidR="009A247C" w:rsidRPr="00A409E9">
        <w:rPr>
          <w:rFonts w:ascii="Arial" w:hAnsi="Arial" w:cs="Arial"/>
          <w:sz w:val="20"/>
          <w:szCs w:val="20"/>
        </w:rPr>
        <w:t xml:space="preserve">. </w:t>
      </w:r>
      <w:r w:rsidR="0059015E" w:rsidRPr="00A409E9">
        <w:rPr>
          <w:rFonts w:ascii="Arial" w:hAnsi="Arial" w:cs="Arial"/>
          <w:sz w:val="20"/>
          <w:szCs w:val="20"/>
        </w:rPr>
        <w:t xml:space="preserve">Bank’s LCR </w:t>
      </w:r>
      <w:r w:rsidR="009A247C" w:rsidRPr="00A409E9">
        <w:rPr>
          <w:rFonts w:ascii="Arial" w:hAnsi="Arial" w:cs="Arial"/>
          <w:sz w:val="20"/>
          <w:szCs w:val="20"/>
        </w:rPr>
        <w:t xml:space="preserve">comes to </w:t>
      </w:r>
      <w:r w:rsidR="00CE0369">
        <w:rPr>
          <w:rFonts w:ascii="Arial" w:hAnsi="Arial" w:cs="Arial"/>
          <w:sz w:val="20"/>
          <w:szCs w:val="20"/>
        </w:rPr>
        <w:t>104</w:t>
      </w:r>
      <w:r w:rsidR="00F309E2">
        <w:rPr>
          <w:rFonts w:ascii="Arial" w:hAnsi="Arial" w:cs="Arial"/>
          <w:sz w:val="20"/>
          <w:szCs w:val="20"/>
        </w:rPr>
        <w:t>.</w:t>
      </w:r>
      <w:r w:rsidR="00CE0369">
        <w:rPr>
          <w:rFonts w:ascii="Arial" w:hAnsi="Arial" w:cs="Arial"/>
          <w:sz w:val="20"/>
          <w:szCs w:val="20"/>
        </w:rPr>
        <w:t>6</w:t>
      </w:r>
      <w:r w:rsidR="00F309E2">
        <w:rPr>
          <w:rFonts w:ascii="Arial" w:hAnsi="Arial" w:cs="Arial"/>
          <w:sz w:val="20"/>
          <w:szCs w:val="20"/>
        </w:rPr>
        <w:t>9</w:t>
      </w:r>
      <w:r w:rsidR="009374AD" w:rsidRPr="00A409E9">
        <w:rPr>
          <w:rFonts w:ascii="Arial" w:hAnsi="Arial" w:cs="Arial"/>
          <w:sz w:val="20"/>
          <w:szCs w:val="20"/>
        </w:rPr>
        <w:t>% based on average of t</w:t>
      </w:r>
      <w:r w:rsidR="00F309E2">
        <w:rPr>
          <w:rFonts w:ascii="Arial" w:hAnsi="Arial" w:cs="Arial"/>
          <w:sz w:val="20"/>
          <w:szCs w:val="20"/>
        </w:rPr>
        <w:t>hree</w:t>
      </w:r>
      <w:r w:rsidR="009374AD" w:rsidRPr="00A409E9">
        <w:rPr>
          <w:rFonts w:ascii="Arial" w:hAnsi="Arial" w:cs="Arial"/>
          <w:sz w:val="20"/>
          <w:szCs w:val="20"/>
        </w:rPr>
        <w:t xml:space="preserve"> months</w:t>
      </w:r>
      <w:r w:rsidR="001057E5">
        <w:rPr>
          <w:rFonts w:ascii="Arial" w:hAnsi="Arial" w:cs="Arial"/>
          <w:sz w:val="20"/>
          <w:szCs w:val="20"/>
        </w:rPr>
        <w:t xml:space="preserve"> </w:t>
      </w:r>
      <w:r w:rsidR="00F309E2">
        <w:rPr>
          <w:rFonts w:ascii="Arial" w:hAnsi="Arial" w:cs="Arial"/>
          <w:sz w:val="20"/>
          <w:szCs w:val="20"/>
        </w:rPr>
        <w:t>(Q</w:t>
      </w:r>
      <w:r w:rsidR="00613FCA">
        <w:rPr>
          <w:rFonts w:ascii="Arial" w:hAnsi="Arial" w:cs="Arial"/>
          <w:sz w:val="20"/>
          <w:szCs w:val="20"/>
        </w:rPr>
        <w:t>2</w:t>
      </w:r>
      <w:r w:rsidR="0028388D">
        <w:rPr>
          <w:rFonts w:ascii="Arial" w:hAnsi="Arial" w:cs="Arial"/>
          <w:sz w:val="20"/>
          <w:szCs w:val="20"/>
        </w:rPr>
        <w:t xml:space="preserve"> </w:t>
      </w:r>
      <w:r w:rsidR="001057E5">
        <w:rPr>
          <w:rFonts w:ascii="Arial" w:hAnsi="Arial" w:cs="Arial"/>
          <w:sz w:val="20"/>
          <w:szCs w:val="20"/>
        </w:rPr>
        <w:t>FY1</w:t>
      </w:r>
      <w:r w:rsidR="00F309E2">
        <w:rPr>
          <w:rFonts w:ascii="Arial" w:hAnsi="Arial" w:cs="Arial"/>
          <w:sz w:val="20"/>
          <w:szCs w:val="20"/>
        </w:rPr>
        <w:t>6</w:t>
      </w:r>
      <w:r w:rsidR="001057E5">
        <w:rPr>
          <w:rFonts w:ascii="Arial" w:hAnsi="Arial" w:cs="Arial"/>
          <w:sz w:val="20"/>
          <w:szCs w:val="20"/>
        </w:rPr>
        <w:t>-1</w:t>
      </w:r>
      <w:r w:rsidR="00F309E2">
        <w:rPr>
          <w:rFonts w:ascii="Arial" w:hAnsi="Arial" w:cs="Arial"/>
          <w:sz w:val="20"/>
          <w:szCs w:val="20"/>
        </w:rPr>
        <w:t>7</w:t>
      </w:r>
      <w:r w:rsidR="001057E5">
        <w:rPr>
          <w:rFonts w:ascii="Arial" w:hAnsi="Arial" w:cs="Arial"/>
          <w:sz w:val="20"/>
          <w:szCs w:val="20"/>
        </w:rPr>
        <w:t>)</w:t>
      </w:r>
      <w:r w:rsidR="00986460" w:rsidRPr="00A409E9">
        <w:rPr>
          <w:rFonts w:ascii="Arial" w:hAnsi="Arial" w:cs="Arial"/>
          <w:sz w:val="20"/>
          <w:szCs w:val="20"/>
        </w:rPr>
        <w:t>.</w:t>
      </w:r>
      <w:r w:rsidR="009374AD" w:rsidRPr="00A409E9">
        <w:rPr>
          <w:rFonts w:ascii="Arial" w:hAnsi="Arial" w:cs="Arial"/>
          <w:sz w:val="20"/>
          <w:szCs w:val="20"/>
        </w:rPr>
        <w:t xml:space="preserve"> </w:t>
      </w:r>
      <w:r w:rsidR="00986460" w:rsidRPr="00A409E9">
        <w:rPr>
          <w:rFonts w:ascii="Arial" w:hAnsi="Arial" w:cs="Arial"/>
          <w:sz w:val="20"/>
          <w:szCs w:val="20"/>
        </w:rPr>
        <w:t xml:space="preserve">The </w:t>
      </w:r>
      <w:r w:rsidR="0059015E" w:rsidRPr="00A409E9">
        <w:rPr>
          <w:rFonts w:ascii="Arial" w:hAnsi="Arial" w:cs="Arial"/>
          <w:sz w:val="20"/>
          <w:szCs w:val="20"/>
        </w:rPr>
        <w:t xml:space="preserve">average HQLA </w:t>
      </w:r>
      <w:r w:rsidR="00B3421A" w:rsidRPr="00A409E9">
        <w:rPr>
          <w:rFonts w:ascii="Arial" w:hAnsi="Arial" w:cs="Arial"/>
          <w:sz w:val="20"/>
          <w:szCs w:val="20"/>
        </w:rPr>
        <w:t>was</w:t>
      </w:r>
      <w:r w:rsidR="0059015E" w:rsidRPr="00A409E9">
        <w:rPr>
          <w:rFonts w:ascii="Arial" w:hAnsi="Arial" w:cs="Arial"/>
          <w:sz w:val="20"/>
          <w:szCs w:val="20"/>
        </w:rPr>
        <w:t xml:space="preserve"> </w:t>
      </w:r>
      <w:proofErr w:type="spellStart"/>
      <w:r w:rsidR="0059015E" w:rsidRPr="00A409E9">
        <w:rPr>
          <w:rFonts w:ascii="Arial" w:hAnsi="Arial" w:cs="Arial"/>
          <w:sz w:val="20"/>
          <w:szCs w:val="20"/>
        </w:rPr>
        <w:t>Rs</w:t>
      </w:r>
      <w:proofErr w:type="spellEnd"/>
      <w:r w:rsidR="0059015E" w:rsidRPr="00A409E9">
        <w:rPr>
          <w:rFonts w:ascii="Arial" w:hAnsi="Arial" w:cs="Arial"/>
          <w:sz w:val="20"/>
          <w:szCs w:val="20"/>
        </w:rPr>
        <w:t xml:space="preserve"> </w:t>
      </w:r>
      <w:r w:rsidR="00F309E2">
        <w:rPr>
          <w:rFonts w:ascii="Arial" w:hAnsi="Arial" w:cs="Arial"/>
          <w:sz w:val="20"/>
          <w:szCs w:val="20"/>
        </w:rPr>
        <w:t>3</w:t>
      </w:r>
      <w:r w:rsidR="00CE0369">
        <w:rPr>
          <w:rFonts w:ascii="Arial" w:hAnsi="Arial" w:cs="Arial"/>
          <w:sz w:val="20"/>
          <w:szCs w:val="20"/>
        </w:rPr>
        <w:t>66</w:t>
      </w:r>
      <w:r w:rsidR="00FA00B0" w:rsidRPr="00A409E9">
        <w:rPr>
          <w:rFonts w:ascii="Arial" w:hAnsi="Arial" w:cs="Arial"/>
          <w:sz w:val="20"/>
          <w:szCs w:val="20"/>
        </w:rPr>
        <w:t>,</w:t>
      </w:r>
      <w:r w:rsidR="00F309E2">
        <w:rPr>
          <w:rFonts w:ascii="Arial" w:hAnsi="Arial" w:cs="Arial"/>
          <w:sz w:val="20"/>
          <w:szCs w:val="20"/>
        </w:rPr>
        <w:t>3</w:t>
      </w:r>
      <w:r w:rsidR="00CE0369">
        <w:rPr>
          <w:rFonts w:ascii="Arial" w:hAnsi="Arial" w:cs="Arial"/>
          <w:sz w:val="20"/>
          <w:szCs w:val="20"/>
        </w:rPr>
        <w:t>50</w:t>
      </w:r>
      <w:r w:rsidR="0059015E" w:rsidRPr="00A409E9">
        <w:rPr>
          <w:rFonts w:ascii="Arial" w:hAnsi="Arial" w:cs="Arial"/>
          <w:sz w:val="20"/>
          <w:szCs w:val="20"/>
        </w:rPr>
        <w:t xml:space="preserve"> </w:t>
      </w:r>
      <w:proofErr w:type="spellStart"/>
      <w:r w:rsidR="002F24A9">
        <w:rPr>
          <w:rFonts w:ascii="Arial" w:hAnsi="Arial" w:cs="Arial"/>
          <w:sz w:val="20"/>
          <w:szCs w:val="20"/>
        </w:rPr>
        <w:t>C</w:t>
      </w:r>
      <w:r w:rsidR="0059015E" w:rsidRPr="00A409E9">
        <w:rPr>
          <w:rFonts w:ascii="Arial" w:hAnsi="Arial" w:cs="Arial"/>
          <w:sz w:val="20"/>
          <w:szCs w:val="20"/>
        </w:rPr>
        <w:t>rs</w:t>
      </w:r>
      <w:proofErr w:type="spellEnd"/>
      <w:r w:rsidR="0059015E" w:rsidRPr="00A409E9">
        <w:rPr>
          <w:rFonts w:ascii="Arial" w:hAnsi="Arial" w:cs="Arial"/>
          <w:sz w:val="20"/>
          <w:szCs w:val="20"/>
        </w:rPr>
        <w:t>, of which</w:t>
      </w:r>
      <w:r>
        <w:rPr>
          <w:rFonts w:ascii="Arial" w:hAnsi="Arial" w:cs="Arial"/>
          <w:sz w:val="20"/>
          <w:szCs w:val="20"/>
        </w:rPr>
        <w:t>,</w:t>
      </w:r>
      <w:r w:rsidR="0059015E" w:rsidRPr="00A409E9">
        <w:rPr>
          <w:rFonts w:ascii="Arial" w:hAnsi="Arial" w:cs="Arial"/>
          <w:sz w:val="20"/>
          <w:szCs w:val="20"/>
        </w:rPr>
        <w:t xml:space="preserve"> Level 1 assets</w:t>
      </w:r>
      <w:r w:rsidR="000161E0" w:rsidRPr="00A409E9">
        <w:rPr>
          <w:rFonts w:ascii="Arial" w:hAnsi="Arial" w:cs="Arial"/>
          <w:sz w:val="20"/>
          <w:szCs w:val="20"/>
        </w:rPr>
        <w:t xml:space="preserve"> </w:t>
      </w:r>
      <w:r w:rsidR="00A85AED" w:rsidRPr="00A409E9">
        <w:rPr>
          <w:rFonts w:ascii="Arial" w:hAnsi="Arial" w:cs="Arial"/>
          <w:sz w:val="20"/>
          <w:szCs w:val="20"/>
        </w:rPr>
        <w:t>constituted 92</w:t>
      </w:r>
      <w:r w:rsidR="005574EC">
        <w:rPr>
          <w:rFonts w:ascii="Arial" w:hAnsi="Arial" w:cs="Arial"/>
          <w:sz w:val="20"/>
          <w:szCs w:val="20"/>
        </w:rPr>
        <w:t>.79</w:t>
      </w:r>
      <w:r w:rsidR="00A85AED" w:rsidRPr="00A409E9">
        <w:rPr>
          <w:rFonts w:ascii="Arial" w:hAnsi="Arial" w:cs="Arial"/>
          <w:sz w:val="20"/>
          <w:szCs w:val="20"/>
        </w:rPr>
        <w:t>% of total HQLA</w:t>
      </w:r>
      <w:r w:rsidR="00ED509C">
        <w:rPr>
          <w:rFonts w:ascii="Arial" w:hAnsi="Arial" w:cs="Arial"/>
          <w:sz w:val="20"/>
          <w:szCs w:val="20"/>
        </w:rPr>
        <w:t>.</w:t>
      </w:r>
      <w:r w:rsidR="00A85AED">
        <w:rPr>
          <w:rFonts w:ascii="Arial" w:hAnsi="Arial" w:cs="Arial"/>
          <w:sz w:val="20"/>
          <w:szCs w:val="20"/>
        </w:rPr>
        <w:t xml:space="preserve"> </w:t>
      </w:r>
      <w:r w:rsidR="00ED509C">
        <w:rPr>
          <w:rFonts w:ascii="Arial" w:hAnsi="Arial" w:cs="Arial"/>
          <w:sz w:val="20"/>
          <w:szCs w:val="20"/>
        </w:rPr>
        <w:t>Government securities constituted</w:t>
      </w:r>
      <w:r w:rsidR="00A85AED">
        <w:rPr>
          <w:rFonts w:ascii="Arial" w:hAnsi="Arial" w:cs="Arial"/>
          <w:sz w:val="20"/>
          <w:szCs w:val="20"/>
        </w:rPr>
        <w:t xml:space="preserve"> </w:t>
      </w:r>
      <w:r w:rsidR="00D356F4">
        <w:rPr>
          <w:rFonts w:ascii="Arial" w:hAnsi="Arial" w:cs="Arial"/>
          <w:sz w:val="20"/>
          <w:szCs w:val="20"/>
        </w:rPr>
        <w:t>9</w:t>
      </w:r>
      <w:r w:rsidR="001568D3">
        <w:rPr>
          <w:rFonts w:ascii="Arial" w:hAnsi="Arial" w:cs="Arial"/>
          <w:sz w:val="20"/>
          <w:szCs w:val="20"/>
        </w:rPr>
        <w:t>1.59%</w:t>
      </w:r>
      <w:r w:rsidR="00A85AED">
        <w:rPr>
          <w:rFonts w:ascii="Arial" w:hAnsi="Arial" w:cs="Arial"/>
          <w:sz w:val="20"/>
          <w:szCs w:val="20"/>
        </w:rPr>
        <w:t xml:space="preserve"> of Total Level 1 Assets</w:t>
      </w:r>
      <w:r w:rsidR="0059015E" w:rsidRPr="00A409E9">
        <w:rPr>
          <w:rFonts w:ascii="Arial" w:hAnsi="Arial" w:cs="Arial"/>
          <w:sz w:val="20"/>
          <w:szCs w:val="20"/>
        </w:rPr>
        <w:t xml:space="preserve">. </w:t>
      </w:r>
      <w:r w:rsidR="00986460" w:rsidRPr="00A409E9">
        <w:rPr>
          <w:rFonts w:ascii="Arial" w:hAnsi="Arial" w:cs="Arial"/>
          <w:sz w:val="20"/>
          <w:szCs w:val="20"/>
        </w:rPr>
        <w:t>The</w:t>
      </w:r>
      <w:r w:rsidR="0059015E" w:rsidRPr="00A409E9">
        <w:rPr>
          <w:rFonts w:ascii="Arial" w:hAnsi="Arial" w:cs="Arial"/>
          <w:sz w:val="20"/>
          <w:szCs w:val="20"/>
        </w:rPr>
        <w:t xml:space="preserve"> net cash outflow position has </w:t>
      </w:r>
      <w:r w:rsidR="000F3AC3">
        <w:rPr>
          <w:rFonts w:ascii="Arial" w:hAnsi="Arial" w:cs="Arial"/>
          <w:sz w:val="20"/>
          <w:szCs w:val="20"/>
        </w:rPr>
        <w:t xml:space="preserve">gone up </w:t>
      </w:r>
      <w:r w:rsidR="00986460" w:rsidRPr="00A409E9">
        <w:rPr>
          <w:rFonts w:ascii="Arial" w:hAnsi="Arial" w:cs="Arial"/>
          <w:sz w:val="20"/>
          <w:szCs w:val="20"/>
        </w:rPr>
        <w:t xml:space="preserve">on </w:t>
      </w:r>
      <w:r w:rsidR="000F3AC3">
        <w:rPr>
          <w:rFonts w:ascii="Arial" w:hAnsi="Arial" w:cs="Arial"/>
          <w:sz w:val="20"/>
          <w:szCs w:val="20"/>
        </w:rPr>
        <w:t xml:space="preserve">account of </w:t>
      </w:r>
      <w:r w:rsidR="00986460" w:rsidRPr="00A409E9">
        <w:rPr>
          <w:rFonts w:ascii="Arial" w:hAnsi="Arial" w:cs="Arial"/>
          <w:sz w:val="20"/>
          <w:szCs w:val="20"/>
        </w:rPr>
        <w:t xml:space="preserve">growth of </w:t>
      </w:r>
      <w:r w:rsidR="000F3AC3">
        <w:rPr>
          <w:rFonts w:ascii="Arial" w:hAnsi="Arial" w:cs="Arial"/>
          <w:sz w:val="20"/>
          <w:szCs w:val="20"/>
        </w:rPr>
        <w:t>B</w:t>
      </w:r>
      <w:r w:rsidR="00986460" w:rsidRPr="00A409E9">
        <w:rPr>
          <w:rFonts w:ascii="Arial" w:hAnsi="Arial" w:cs="Arial"/>
          <w:sz w:val="20"/>
          <w:szCs w:val="20"/>
        </w:rPr>
        <w:t xml:space="preserve">alance </w:t>
      </w:r>
      <w:r w:rsidR="000F3AC3">
        <w:rPr>
          <w:rFonts w:ascii="Arial" w:hAnsi="Arial" w:cs="Arial"/>
          <w:sz w:val="20"/>
          <w:szCs w:val="20"/>
        </w:rPr>
        <w:t>S</w:t>
      </w:r>
      <w:r w:rsidR="00986460" w:rsidRPr="00A409E9">
        <w:rPr>
          <w:rFonts w:ascii="Arial" w:hAnsi="Arial" w:cs="Arial"/>
          <w:sz w:val="20"/>
          <w:szCs w:val="20"/>
        </w:rPr>
        <w:t>heet size</w:t>
      </w:r>
      <w:r w:rsidR="0059015E" w:rsidRPr="00A409E9">
        <w:rPr>
          <w:rFonts w:ascii="Arial" w:hAnsi="Arial" w:cs="Arial"/>
          <w:sz w:val="20"/>
          <w:szCs w:val="20"/>
        </w:rPr>
        <w:t xml:space="preserve">. Derivative exposures </w:t>
      </w:r>
      <w:r w:rsidR="000F3AC3">
        <w:rPr>
          <w:rFonts w:ascii="Arial" w:hAnsi="Arial" w:cs="Arial"/>
          <w:sz w:val="20"/>
          <w:szCs w:val="20"/>
        </w:rPr>
        <w:t>are</w:t>
      </w:r>
      <w:r w:rsidR="0059015E" w:rsidRPr="00A409E9">
        <w:rPr>
          <w:rFonts w:ascii="Arial" w:hAnsi="Arial" w:cs="Arial"/>
          <w:sz w:val="20"/>
          <w:szCs w:val="20"/>
        </w:rPr>
        <w:t xml:space="preserve"> considered insignificant due to almost matching inflows and outflows position. During the quarter</w:t>
      </w:r>
      <w:r>
        <w:rPr>
          <w:rFonts w:ascii="Arial" w:hAnsi="Arial" w:cs="Arial"/>
          <w:sz w:val="20"/>
          <w:szCs w:val="20"/>
        </w:rPr>
        <w:t>,</w:t>
      </w:r>
      <w:r w:rsidR="0059015E" w:rsidRPr="00A409E9">
        <w:rPr>
          <w:rFonts w:ascii="Arial" w:hAnsi="Arial" w:cs="Arial"/>
          <w:sz w:val="20"/>
          <w:szCs w:val="20"/>
        </w:rPr>
        <w:t xml:space="preserve"> </w:t>
      </w:r>
      <w:r w:rsidR="003954FE">
        <w:rPr>
          <w:rFonts w:ascii="Arial" w:hAnsi="Arial" w:cs="Arial"/>
          <w:sz w:val="20"/>
          <w:szCs w:val="20"/>
        </w:rPr>
        <w:t xml:space="preserve">LCR for </w:t>
      </w:r>
      <w:r w:rsidR="0059015E" w:rsidRPr="00A409E9">
        <w:rPr>
          <w:rFonts w:ascii="Arial" w:hAnsi="Arial" w:cs="Arial"/>
          <w:sz w:val="20"/>
          <w:szCs w:val="20"/>
        </w:rPr>
        <w:t xml:space="preserve">USD </w:t>
      </w:r>
      <w:r w:rsidR="003954FE">
        <w:rPr>
          <w:rFonts w:ascii="Arial" w:hAnsi="Arial" w:cs="Arial"/>
          <w:sz w:val="20"/>
          <w:szCs w:val="20"/>
        </w:rPr>
        <w:t>(</w:t>
      </w:r>
      <w:r w:rsidR="003954FE" w:rsidRPr="00A409E9">
        <w:rPr>
          <w:rFonts w:ascii="Arial" w:hAnsi="Arial" w:cs="Arial"/>
          <w:sz w:val="20"/>
          <w:szCs w:val="20"/>
        </w:rPr>
        <w:t>significant</w:t>
      </w:r>
      <w:r w:rsidR="0059015E" w:rsidRPr="00A409E9">
        <w:rPr>
          <w:rFonts w:ascii="Arial" w:hAnsi="Arial" w:cs="Arial"/>
          <w:sz w:val="20"/>
          <w:szCs w:val="20"/>
        </w:rPr>
        <w:t xml:space="preserve"> Foreign </w:t>
      </w:r>
      <w:r w:rsidRPr="00A409E9">
        <w:rPr>
          <w:rFonts w:ascii="Arial" w:hAnsi="Arial" w:cs="Arial"/>
          <w:sz w:val="20"/>
          <w:szCs w:val="20"/>
        </w:rPr>
        <w:t>Currency</w:t>
      </w:r>
      <w:r>
        <w:rPr>
          <w:rFonts w:ascii="Arial" w:hAnsi="Arial" w:cs="Arial"/>
          <w:sz w:val="20"/>
          <w:szCs w:val="20"/>
        </w:rPr>
        <w:t xml:space="preserve"> </w:t>
      </w:r>
      <w:r w:rsidR="0059015E" w:rsidRPr="00A409E9">
        <w:rPr>
          <w:rFonts w:ascii="Arial" w:hAnsi="Arial" w:cs="Arial"/>
          <w:sz w:val="20"/>
          <w:szCs w:val="20"/>
        </w:rPr>
        <w:t>constitut</w:t>
      </w:r>
      <w:r>
        <w:rPr>
          <w:rFonts w:ascii="Arial" w:hAnsi="Arial" w:cs="Arial"/>
          <w:sz w:val="20"/>
          <w:szCs w:val="20"/>
        </w:rPr>
        <w:t>ing</w:t>
      </w:r>
      <w:r w:rsidR="0059015E" w:rsidRPr="00A409E9">
        <w:rPr>
          <w:rFonts w:ascii="Arial" w:hAnsi="Arial" w:cs="Arial"/>
          <w:sz w:val="20"/>
          <w:szCs w:val="20"/>
        </w:rPr>
        <w:t xml:space="preserve"> more than 5% of the Balance Sheet of the Bank</w:t>
      </w:r>
      <w:r>
        <w:rPr>
          <w:rFonts w:ascii="Arial" w:hAnsi="Arial" w:cs="Arial"/>
          <w:sz w:val="20"/>
          <w:szCs w:val="20"/>
        </w:rPr>
        <w:t xml:space="preserve">) </w:t>
      </w:r>
      <w:r w:rsidR="009374AD" w:rsidRPr="00A409E9">
        <w:rPr>
          <w:rFonts w:ascii="Arial" w:hAnsi="Arial" w:cs="Arial"/>
          <w:sz w:val="20"/>
          <w:szCs w:val="20"/>
        </w:rPr>
        <w:t xml:space="preserve">was </w:t>
      </w:r>
      <w:r w:rsidR="00D32E3B">
        <w:rPr>
          <w:rFonts w:ascii="Arial" w:hAnsi="Arial" w:cs="Arial"/>
          <w:sz w:val="20"/>
          <w:szCs w:val="20"/>
        </w:rPr>
        <w:t>1</w:t>
      </w:r>
      <w:r w:rsidR="00F75408">
        <w:rPr>
          <w:rFonts w:ascii="Arial" w:hAnsi="Arial" w:cs="Arial"/>
          <w:sz w:val="20"/>
          <w:szCs w:val="20"/>
        </w:rPr>
        <w:t>24</w:t>
      </w:r>
      <w:r w:rsidR="0080391C">
        <w:rPr>
          <w:rFonts w:ascii="Arial" w:hAnsi="Arial" w:cs="Arial"/>
          <w:sz w:val="20"/>
          <w:szCs w:val="20"/>
        </w:rPr>
        <w:t>%</w:t>
      </w:r>
      <w:r w:rsidR="003954FE">
        <w:rPr>
          <w:rFonts w:ascii="Arial" w:hAnsi="Arial" w:cs="Arial"/>
          <w:sz w:val="20"/>
          <w:szCs w:val="20"/>
        </w:rPr>
        <w:t xml:space="preserve"> on an average</w:t>
      </w:r>
      <w:r>
        <w:rPr>
          <w:rFonts w:ascii="Arial" w:hAnsi="Arial" w:cs="Arial"/>
          <w:sz w:val="20"/>
          <w:szCs w:val="20"/>
        </w:rPr>
        <w:t>.</w:t>
      </w:r>
    </w:p>
    <w:p w:rsidR="003954FE" w:rsidRDefault="003954FE" w:rsidP="00B4729E">
      <w:pPr>
        <w:spacing w:line="360" w:lineRule="auto"/>
        <w:ind w:right="-613"/>
        <w:jc w:val="both"/>
        <w:rPr>
          <w:rFonts w:ascii="Arial" w:hAnsi="Arial" w:cs="Arial"/>
          <w:color w:val="000000"/>
          <w:sz w:val="20"/>
          <w:szCs w:val="20"/>
        </w:rPr>
      </w:pPr>
    </w:p>
    <w:p w:rsidR="000161E0" w:rsidRPr="00A409E9" w:rsidRDefault="000161E0" w:rsidP="00B4729E">
      <w:pPr>
        <w:spacing w:line="360" w:lineRule="auto"/>
        <w:ind w:right="-613"/>
        <w:jc w:val="both"/>
        <w:rPr>
          <w:rFonts w:ascii="Arial" w:hAnsi="Arial" w:cs="Arial"/>
          <w:color w:val="000000"/>
          <w:sz w:val="20"/>
          <w:szCs w:val="20"/>
        </w:rPr>
      </w:pPr>
      <w:r w:rsidRPr="00A409E9">
        <w:rPr>
          <w:rFonts w:ascii="Arial" w:hAnsi="Arial" w:cs="Arial"/>
          <w:color w:val="000000"/>
          <w:sz w:val="20"/>
          <w:szCs w:val="20"/>
        </w:rPr>
        <w:t>Liquidity Management in the Bank is driven by the ALM Policy</w:t>
      </w:r>
      <w:r w:rsidR="003954FE">
        <w:rPr>
          <w:rFonts w:ascii="Arial" w:hAnsi="Arial" w:cs="Arial"/>
          <w:color w:val="000000"/>
          <w:sz w:val="20"/>
          <w:szCs w:val="20"/>
        </w:rPr>
        <w:t xml:space="preserve"> of the Bank and regulatory prescriptions.</w:t>
      </w:r>
      <w:r w:rsidR="003954FE" w:rsidRPr="00A409E9">
        <w:rPr>
          <w:rFonts w:ascii="Arial" w:hAnsi="Arial" w:cs="Arial"/>
          <w:color w:val="000000"/>
          <w:sz w:val="20"/>
          <w:szCs w:val="20"/>
        </w:rPr>
        <w:t xml:space="preserve"> The</w:t>
      </w:r>
      <w:r w:rsidRPr="00A409E9">
        <w:rPr>
          <w:rFonts w:ascii="Arial" w:hAnsi="Arial" w:cs="Arial"/>
          <w:color w:val="000000"/>
          <w:sz w:val="20"/>
          <w:szCs w:val="20"/>
        </w:rPr>
        <w:t xml:space="preserve"> Domestic and International Treasuries are reporting to the Asset Liability Management </w:t>
      </w:r>
      <w:r w:rsidR="00326EDD" w:rsidRPr="00A409E9">
        <w:rPr>
          <w:rFonts w:ascii="Arial" w:hAnsi="Arial" w:cs="Arial"/>
          <w:color w:val="000000"/>
          <w:sz w:val="20"/>
          <w:szCs w:val="20"/>
        </w:rPr>
        <w:t>Committee (</w:t>
      </w:r>
      <w:r w:rsidRPr="00A409E9">
        <w:rPr>
          <w:rFonts w:ascii="Arial" w:hAnsi="Arial" w:cs="Arial"/>
          <w:color w:val="000000"/>
          <w:sz w:val="20"/>
          <w:szCs w:val="20"/>
        </w:rPr>
        <w:t xml:space="preserve">ALCO). The ALCO has been empowered by the Bank’s Board to formulate the Bank’s funding strategies </w:t>
      </w:r>
      <w:r w:rsidR="00326EDD" w:rsidRPr="00A409E9">
        <w:rPr>
          <w:rFonts w:ascii="Arial" w:hAnsi="Arial" w:cs="Arial"/>
          <w:color w:val="000000"/>
          <w:sz w:val="20"/>
          <w:szCs w:val="20"/>
        </w:rPr>
        <w:t xml:space="preserve">to ensure that the funding sources are well diversified and is consistent with the </w:t>
      </w:r>
      <w:r w:rsidR="00CC7E60">
        <w:rPr>
          <w:rFonts w:ascii="Arial" w:hAnsi="Arial" w:cs="Arial"/>
          <w:color w:val="000000"/>
          <w:sz w:val="20"/>
          <w:szCs w:val="20"/>
        </w:rPr>
        <w:t xml:space="preserve">operational </w:t>
      </w:r>
      <w:r w:rsidR="00326EDD" w:rsidRPr="00A409E9">
        <w:rPr>
          <w:rFonts w:ascii="Arial" w:hAnsi="Arial" w:cs="Arial"/>
          <w:color w:val="000000"/>
          <w:sz w:val="20"/>
          <w:szCs w:val="20"/>
        </w:rPr>
        <w:t xml:space="preserve">requirements of the Bank. All the major decisions of ALCO are being reported to the </w:t>
      </w:r>
      <w:r w:rsidR="00CC7E60" w:rsidRPr="00A409E9">
        <w:rPr>
          <w:rFonts w:ascii="Arial" w:hAnsi="Arial" w:cs="Arial"/>
          <w:color w:val="000000"/>
          <w:sz w:val="20"/>
          <w:szCs w:val="20"/>
        </w:rPr>
        <w:t xml:space="preserve">Bank’s </w:t>
      </w:r>
      <w:r w:rsidR="00326EDD" w:rsidRPr="00A409E9">
        <w:rPr>
          <w:rFonts w:ascii="Arial" w:hAnsi="Arial" w:cs="Arial"/>
          <w:color w:val="000000"/>
          <w:sz w:val="20"/>
          <w:szCs w:val="20"/>
        </w:rPr>
        <w:t>Board periodically. In addition to monthly LCR reporting, Bank prepares daily Structural Liquidity statement</w:t>
      </w:r>
      <w:r w:rsidR="005A46EF">
        <w:rPr>
          <w:rFonts w:ascii="Arial" w:hAnsi="Arial" w:cs="Arial"/>
          <w:color w:val="000000"/>
          <w:sz w:val="20"/>
          <w:szCs w:val="20"/>
        </w:rPr>
        <w:t>s</w:t>
      </w:r>
      <w:r w:rsidR="00326EDD" w:rsidRPr="00A409E9">
        <w:rPr>
          <w:rFonts w:ascii="Arial" w:hAnsi="Arial" w:cs="Arial"/>
          <w:color w:val="000000"/>
          <w:sz w:val="20"/>
          <w:szCs w:val="20"/>
        </w:rPr>
        <w:t xml:space="preserve"> to assess the liquidity needs of the Bank on an ongoing basis. Further, Dynamic Liquidity Reports are also being prepared </w:t>
      </w:r>
      <w:r w:rsidR="003C4FBF">
        <w:rPr>
          <w:rFonts w:ascii="Arial" w:hAnsi="Arial" w:cs="Arial"/>
          <w:color w:val="000000"/>
          <w:sz w:val="20"/>
          <w:szCs w:val="20"/>
        </w:rPr>
        <w:t xml:space="preserve">periodically </w:t>
      </w:r>
      <w:r w:rsidR="00326EDD" w:rsidRPr="00A409E9">
        <w:rPr>
          <w:rFonts w:ascii="Arial" w:hAnsi="Arial" w:cs="Arial"/>
          <w:color w:val="000000"/>
          <w:sz w:val="20"/>
          <w:szCs w:val="20"/>
        </w:rPr>
        <w:t xml:space="preserve">to forecast liquidity requirements and </w:t>
      </w:r>
      <w:r w:rsidR="005A46EF">
        <w:rPr>
          <w:rFonts w:ascii="Arial" w:hAnsi="Arial" w:cs="Arial"/>
          <w:color w:val="000000"/>
          <w:sz w:val="20"/>
          <w:szCs w:val="20"/>
        </w:rPr>
        <w:t xml:space="preserve">to </w:t>
      </w:r>
      <w:r w:rsidR="00326EDD" w:rsidRPr="00A409E9">
        <w:rPr>
          <w:rFonts w:ascii="Arial" w:hAnsi="Arial" w:cs="Arial"/>
          <w:color w:val="000000"/>
          <w:sz w:val="20"/>
          <w:szCs w:val="20"/>
        </w:rPr>
        <w:t>strategize accordingly.</w:t>
      </w:r>
    </w:p>
    <w:p w:rsidR="00BF1881" w:rsidRPr="008B7B40" w:rsidRDefault="00326EDD" w:rsidP="00BA048F">
      <w:pPr>
        <w:spacing w:line="360" w:lineRule="auto"/>
        <w:ind w:right="-613"/>
        <w:jc w:val="both"/>
        <w:rPr>
          <w:rFonts w:ascii="Arial" w:hAnsi="Arial" w:cs="Arial"/>
        </w:rPr>
      </w:pPr>
      <w:r w:rsidRPr="00A409E9">
        <w:rPr>
          <w:rFonts w:ascii="Arial" w:hAnsi="Arial" w:cs="Arial"/>
          <w:color w:val="000000"/>
          <w:sz w:val="20"/>
          <w:szCs w:val="20"/>
        </w:rPr>
        <w:t>The Bank has been maintaining HQLA mainly in the form of SLR investments over and above the mandatory requirements.</w:t>
      </w:r>
      <w:r w:rsidR="002F55E6">
        <w:rPr>
          <w:rFonts w:ascii="Arial" w:hAnsi="Arial" w:cs="Arial"/>
          <w:color w:val="000000"/>
          <w:sz w:val="20"/>
          <w:szCs w:val="20"/>
        </w:rPr>
        <w:t xml:space="preserve"> </w:t>
      </w:r>
      <w:r w:rsidRPr="00A409E9">
        <w:rPr>
          <w:rFonts w:ascii="Arial" w:hAnsi="Arial" w:cs="Arial"/>
          <w:color w:val="000000"/>
          <w:sz w:val="20"/>
          <w:szCs w:val="20"/>
        </w:rPr>
        <w:t xml:space="preserve">Retail deposits constitute major portion of total funding sources, </w:t>
      </w:r>
      <w:r w:rsidR="003954FE">
        <w:rPr>
          <w:rFonts w:ascii="Arial" w:hAnsi="Arial" w:cs="Arial"/>
          <w:color w:val="000000"/>
          <w:sz w:val="20"/>
          <w:szCs w:val="20"/>
        </w:rPr>
        <w:t>which</w:t>
      </w:r>
      <w:r w:rsidRPr="00A409E9">
        <w:rPr>
          <w:rFonts w:ascii="Arial" w:hAnsi="Arial" w:cs="Arial"/>
          <w:color w:val="000000"/>
          <w:sz w:val="20"/>
          <w:szCs w:val="20"/>
        </w:rPr>
        <w:t xml:space="preserve"> are well diversified. Management is of the view that the Bank has sufficient liquidity cover to meet its likely future</w:t>
      </w:r>
      <w:r w:rsidRPr="008B7B40">
        <w:rPr>
          <w:rFonts w:ascii="Arial" w:hAnsi="Arial" w:cs="Arial"/>
          <w:color w:val="000000"/>
        </w:rPr>
        <w:t xml:space="preserve"> </w:t>
      </w:r>
      <w:r w:rsidRPr="00A409E9">
        <w:rPr>
          <w:rFonts w:ascii="Arial" w:hAnsi="Arial" w:cs="Arial"/>
          <w:color w:val="000000"/>
          <w:sz w:val="20"/>
        </w:rPr>
        <w:t>short term requirements.</w:t>
      </w:r>
    </w:p>
    <w:sectPr w:rsidR="00BF1881" w:rsidRPr="008B7B40" w:rsidSect="00FB589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53BD9"/>
    <w:multiLevelType w:val="hybridMultilevel"/>
    <w:tmpl w:val="87A8C080"/>
    <w:lvl w:ilvl="0" w:tplc="09AEA8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5E"/>
    <w:rsid w:val="000161E0"/>
    <w:rsid w:val="00081BB1"/>
    <w:rsid w:val="000C52ED"/>
    <w:rsid w:val="000C7197"/>
    <w:rsid w:val="000F3AC3"/>
    <w:rsid w:val="001057E5"/>
    <w:rsid w:val="00110FAF"/>
    <w:rsid w:val="001568D3"/>
    <w:rsid w:val="0019147F"/>
    <w:rsid w:val="0022108A"/>
    <w:rsid w:val="0023773E"/>
    <w:rsid w:val="0028388D"/>
    <w:rsid w:val="00297BA2"/>
    <w:rsid w:val="002A1070"/>
    <w:rsid w:val="002D251E"/>
    <w:rsid w:val="002F24A9"/>
    <w:rsid w:val="002F42EB"/>
    <w:rsid w:val="002F55E6"/>
    <w:rsid w:val="003073B9"/>
    <w:rsid w:val="00315186"/>
    <w:rsid w:val="00326EDD"/>
    <w:rsid w:val="003954FE"/>
    <w:rsid w:val="00395BEB"/>
    <w:rsid w:val="003C4FBF"/>
    <w:rsid w:val="004238C1"/>
    <w:rsid w:val="004746C4"/>
    <w:rsid w:val="005574EC"/>
    <w:rsid w:val="00575501"/>
    <w:rsid w:val="0059015E"/>
    <w:rsid w:val="005A46EF"/>
    <w:rsid w:val="005A6F1B"/>
    <w:rsid w:val="005B552C"/>
    <w:rsid w:val="005D50E4"/>
    <w:rsid w:val="005E1D4D"/>
    <w:rsid w:val="00613FCA"/>
    <w:rsid w:val="006E3832"/>
    <w:rsid w:val="006F23A3"/>
    <w:rsid w:val="007B6BA7"/>
    <w:rsid w:val="007C0419"/>
    <w:rsid w:val="007D44CE"/>
    <w:rsid w:val="0080391C"/>
    <w:rsid w:val="00877C7B"/>
    <w:rsid w:val="008A3F65"/>
    <w:rsid w:val="008B7B40"/>
    <w:rsid w:val="008F6F25"/>
    <w:rsid w:val="00910F62"/>
    <w:rsid w:val="009374AD"/>
    <w:rsid w:val="00986460"/>
    <w:rsid w:val="00995510"/>
    <w:rsid w:val="009A247C"/>
    <w:rsid w:val="009D4E8C"/>
    <w:rsid w:val="00A409E9"/>
    <w:rsid w:val="00A84E4C"/>
    <w:rsid w:val="00A85AED"/>
    <w:rsid w:val="00AA2228"/>
    <w:rsid w:val="00B006D4"/>
    <w:rsid w:val="00B3421A"/>
    <w:rsid w:val="00B4729E"/>
    <w:rsid w:val="00BA048F"/>
    <w:rsid w:val="00BF1881"/>
    <w:rsid w:val="00CC7E60"/>
    <w:rsid w:val="00CE0369"/>
    <w:rsid w:val="00D17DDF"/>
    <w:rsid w:val="00D217C4"/>
    <w:rsid w:val="00D32E3B"/>
    <w:rsid w:val="00D356F4"/>
    <w:rsid w:val="00E42F0C"/>
    <w:rsid w:val="00ED509C"/>
    <w:rsid w:val="00F309E2"/>
    <w:rsid w:val="00F75408"/>
    <w:rsid w:val="00FA00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B68DF-9F4E-433A-8174-C3C442EB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15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6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1724">
      <w:bodyDiv w:val="1"/>
      <w:marLeft w:val="0"/>
      <w:marRight w:val="0"/>
      <w:marTop w:val="0"/>
      <w:marBottom w:val="0"/>
      <w:divBdr>
        <w:top w:val="none" w:sz="0" w:space="0" w:color="auto"/>
        <w:left w:val="none" w:sz="0" w:space="0" w:color="auto"/>
        <w:bottom w:val="none" w:sz="0" w:space="0" w:color="auto"/>
        <w:right w:val="none" w:sz="0" w:space="0" w:color="auto"/>
      </w:divBdr>
    </w:div>
    <w:div w:id="192037456">
      <w:bodyDiv w:val="1"/>
      <w:marLeft w:val="0"/>
      <w:marRight w:val="0"/>
      <w:marTop w:val="0"/>
      <w:marBottom w:val="0"/>
      <w:divBdr>
        <w:top w:val="none" w:sz="0" w:space="0" w:color="auto"/>
        <w:left w:val="none" w:sz="0" w:space="0" w:color="auto"/>
        <w:bottom w:val="none" w:sz="0" w:space="0" w:color="auto"/>
        <w:right w:val="none" w:sz="0" w:space="0" w:color="auto"/>
      </w:divBdr>
    </w:div>
    <w:div w:id="325203951">
      <w:bodyDiv w:val="1"/>
      <w:marLeft w:val="0"/>
      <w:marRight w:val="0"/>
      <w:marTop w:val="0"/>
      <w:marBottom w:val="0"/>
      <w:divBdr>
        <w:top w:val="none" w:sz="0" w:space="0" w:color="auto"/>
        <w:left w:val="none" w:sz="0" w:space="0" w:color="auto"/>
        <w:bottom w:val="none" w:sz="0" w:space="0" w:color="auto"/>
        <w:right w:val="none" w:sz="0" w:space="0" w:color="auto"/>
      </w:divBdr>
    </w:div>
    <w:div w:id="326594724">
      <w:bodyDiv w:val="1"/>
      <w:marLeft w:val="0"/>
      <w:marRight w:val="0"/>
      <w:marTop w:val="0"/>
      <w:marBottom w:val="0"/>
      <w:divBdr>
        <w:top w:val="none" w:sz="0" w:space="0" w:color="auto"/>
        <w:left w:val="none" w:sz="0" w:space="0" w:color="auto"/>
        <w:bottom w:val="none" w:sz="0" w:space="0" w:color="auto"/>
        <w:right w:val="none" w:sz="0" w:space="0" w:color="auto"/>
      </w:divBdr>
    </w:div>
    <w:div w:id="403381711">
      <w:bodyDiv w:val="1"/>
      <w:marLeft w:val="0"/>
      <w:marRight w:val="0"/>
      <w:marTop w:val="0"/>
      <w:marBottom w:val="0"/>
      <w:divBdr>
        <w:top w:val="none" w:sz="0" w:space="0" w:color="auto"/>
        <w:left w:val="none" w:sz="0" w:space="0" w:color="auto"/>
        <w:bottom w:val="none" w:sz="0" w:space="0" w:color="auto"/>
        <w:right w:val="none" w:sz="0" w:space="0" w:color="auto"/>
      </w:divBdr>
    </w:div>
    <w:div w:id="921521835">
      <w:bodyDiv w:val="1"/>
      <w:marLeft w:val="0"/>
      <w:marRight w:val="0"/>
      <w:marTop w:val="0"/>
      <w:marBottom w:val="0"/>
      <w:divBdr>
        <w:top w:val="none" w:sz="0" w:space="0" w:color="auto"/>
        <w:left w:val="none" w:sz="0" w:space="0" w:color="auto"/>
        <w:bottom w:val="none" w:sz="0" w:space="0" w:color="auto"/>
        <w:right w:val="none" w:sz="0" w:space="0" w:color="auto"/>
      </w:divBdr>
    </w:div>
    <w:div w:id="1006908222">
      <w:bodyDiv w:val="1"/>
      <w:marLeft w:val="0"/>
      <w:marRight w:val="0"/>
      <w:marTop w:val="0"/>
      <w:marBottom w:val="0"/>
      <w:divBdr>
        <w:top w:val="none" w:sz="0" w:space="0" w:color="auto"/>
        <w:left w:val="none" w:sz="0" w:space="0" w:color="auto"/>
        <w:bottom w:val="none" w:sz="0" w:space="0" w:color="auto"/>
        <w:right w:val="none" w:sz="0" w:space="0" w:color="auto"/>
      </w:divBdr>
    </w:div>
    <w:div w:id="1008679268">
      <w:bodyDiv w:val="1"/>
      <w:marLeft w:val="0"/>
      <w:marRight w:val="0"/>
      <w:marTop w:val="0"/>
      <w:marBottom w:val="0"/>
      <w:divBdr>
        <w:top w:val="none" w:sz="0" w:space="0" w:color="auto"/>
        <w:left w:val="none" w:sz="0" w:space="0" w:color="auto"/>
        <w:bottom w:val="none" w:sz="0" w:space="0" w:color="auto"/>
        <w:right w:val="none" w:sz="0" w:space="0" w:color="auto"/>
      </w:divBdr>
    </w:div>
    <w:div w:id="1443378073">
      <w:bodyDiv w:val="1"/>
      <w:marLeft w:val="0"/>
      <w:marRight w:val="0"/>
      <w:marTop w:val="0"/>
      <w:marBottom w:val="0"/>
      <w:divBdr>
        <w:top w:val="none" w:sz="0" w:space="0" w:color="auto"/>
        <w:left w:val="none" w:sz="0" w:space="0" w:color="auto"/>
        <w:bottom w:val="none" w:sz="0" w:space="0" w:color="auto"/>
        <w:right w:val="none" w:sz="0" w:space="0" w:color="auto"/>
      </w:divBdr>
    </w:div>
    <w:div w:id="1650288785">
      <w:bodyDiv w:val="1"/>
      <w:marLeft w:val="0"/>
      <w:marRight w:val="0"/>
      <w:marTop w:val="0"/>
      <w:marBottom w:val="0"/>
      <w:divBdr>
        <w:top w:val="none" w:sz="0" w:space="0" w:color="auto"/>
        <w:left w:val="none" w:sz="0" w:space="0" w:color="auto"/>
        <w:bottom w:val="none" w:sz="0" w:space="0" w:color="auto"/>
        <w:right w:val="none" w:sz="0" w:space="0" w:color="auto"/>
      </w:divBdr>
    </w:div>
    <w:div w:id="1730415624">
      <w:bodyDiv w:val="1"/>
      <w:marLeft w:val="0"/>
      <w:marRight w:val="0"/>
      <w:marTop w:val="0"/>
      <w:marBottom w:val="0"/>
      <w:divBdr>
        <w:top w:val="none" w:sz="0" w:space="0" w:color="auto"/>
        <w:left w:val="none" w:sz="0" w:space="0" w:color="auto"/>
        <w:bottom w:val="none" w:sz="0" w:space="0" w:color="auto"/>
        <w:right w:val="none" w:sz="0" w:space="0" w:color="auto"/>
      </w:divBdr>
    </w:div>
    <w:div w:id="1999845552">
      <w:bodyDiv w:val="1"/>
      <w:marLeft w:val="0"/>
      <w:marRight w:val="0"/>
      <w:marTop w:val="0"/>
      <w:marBottom w:val="0"/>
      <w:divBdr>
        <w:top w:val="none" w:sz="0" w:space="0" w:color="auto"/>
        <w:left w:val="none" w:sz="0" w:space="0" w:color="auto"/>
        <w:bottom w:val="none" w:sz="0" w:space="0" w:color="auto"/>
        <w:right w:val="none" w:sz="0" w:space="0" w:color="auto"/>
      </w:divBdr>
    </w:div>
    <w:div w:id="21462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Suranjana Dutta</dc:creator>
  <cp:keywords/>
  <dc:description/>
  <cp:lastModifiedBy>Pankaj Kumar Barnwal</cp:lastModifiedBy>
  <cp:revision>6</cp:revision>
  <cp:lastPrinted>2016-08-11T05:38:00Z</cp:lastPrinted>
  <dcterms:created xsi:type="dcterms:W3CDTF">2016-11-08T06:22:00Z</dcterms:created>
  <dcterms:modified xsi:type="dcterms:W3CDTF">2016-11-10T07:14:00Z</dcterms:modified>
</cp:coreProperties>
</file>